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173355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WESCO International,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390"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001-14989</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25-1723342</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07"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225 West Station Square Drive</w:t>
      </w:r>
    </w:p>
    <w:p>
      <w:pPr>
        <w:spacing w:after="0" w:line="43"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Suite 700</w:t>
      </w:r>
    </w:p>
    <w:p>
      <w:pPr>
        <w:spacing w:after="0" w:line="9"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Pittsburgh, Pennsylvania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15219</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73"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(412) 454-2200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8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142240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3" w:lineRule="exact"/>
        <w:rPr>
          <w:rFonts w:ascii="MS PGothic" w:cs="MS PGothic" w:eastAsia="MS PGothic" w:hAnsi="MS PGothic"/>
          <w:sz w:val="18"/>
          <w:szCs w:val="18"/>
          <w:color w:val="auto"/>
        </w:rPr>
      </w:pPr>
    </w:p>
    <w:p>
      <w:pPr>
        <w:ind w:left="2444"/>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1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WCC</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Depositary Shares, each representing a 1/1,000th</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WCC PR 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interest in a share of Series A Fixed-Rate Reset</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Cumulative Perpetual Preferred Stock</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111125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Senior Notes Offering</w:t>
      </w:r>
    </w:p>
    <w:p>
      <w:pPr>
        <w:spacing w:after="0" w:line="121" w:lineRule="exact"/>
        <w:rPr>
          <w:sz w:val="20"/>
          <w:szCs w:val="20"/>
          <w:color w:val="auto"/>
        </w:rPr>
      </w:pPr>
    </w:p>
    <w:p>
      <w:pPr>
        <w:ind w:left="4" w:right="40" w:firstLine="440"/>
        <w:spacing w:after="0" w:line="257" w:lineRule="auto"/>
        <w:rPr>
          <w:sz w:val="20"/>
          <w:szCs w:val="20"/>
          <w:color w:val="auto"/>
        </w:rPr>
      </w:pPr>
      <w:r>
        <w:rPr>
          <w:rFonts w:ascii="Times New Roman" w:cs="Times New Roman" w:eastAsia="Times New Roman" w:hAnsi="Times New Roman"/>
          <w:sz w:val="18"/>
          <w:szCs w:val="18"/>
          <w:color w:val="auto"/>
        </w:rPr>
        <w:t>On March 7, 2024, WESCO Distribution, Inc. (the “Issuer” or “Wesco Distribution”), a wholly owned subsidiary of WESCO International, Inc. (the “Company” or “WESCO”), completed its previously announced offering (the “Offering”) to eligible purchasers of $900 million aggregate principal amount of 6.375% senior notes due 2029 (the “5-Year Notes”) and $850 million aggregate principal amount of 6.625% senior notes due 2032</w:t>
      </w:r>
    </w:p>
    <w:p>
      <w:pPr>
        <w:spacing w:after="0" w:line="1" w:lineRule="exact"/>
        <w:rPr>
          <w:sz w:val="20"/>
          <w:szCs w:val="20"/>
          <w:color w:val="auto"/>
        </w:rPr>
      </w:pPr>
    </w:p>
    <w:p>
      <w:pPr>
        <w:ind w:left="4" w:right="480"/>
        <w:spacing w:after="0" w:line="260" w:lineRule="auto"/>
        <w:rPr>
          <w:sz w:val="20"/>
          <w:szCs w:val="20"/>
          <w:color w:val="auto"/>
        </w:rPr>
      </w:pPr>
      <w:r>
        <w:rPr>
          <w:rFonts w:ascii="Times New Roman" w:cs="Times New Roman" w:eastAsia="Times New Roman" w:hAnsi="Times New Roman"/>
          <w:sz w:val="18"/>
          <w:szCs w:val="18"/>
          <w:color w:val="auto"/>
        </w:rPr>
        <w:t>(the “8-Year Notes” and, together with the 5-Year Notes, the “Notes”). The 5-Year Notes were issued at a price of 100% of the aggregate principal amount thereof. The 8-Year Notes were issued at a price of 100% of the aggregate principal amount thereof.</w:t>
      </w:r>
    </w:p>
    <w:p>
      <w:pPr>
        <w:spacing w:after="0" w:line="181"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t>The Notes were issued pursuant to, and are governed by, an indenture (the “Indenture”), dated as of March 7, 2024, among the Issuer, the guarantors named therein and U.S. Bank Trust Company, National Association, as trustee (the “Trustee”). The Notes of each series and related guarantees were issued in a private transaction exempt from the Securities Act of 1933, as amended (the “Securities Act”), and have not been, and will not be, registered under the Securities Act and may not be offered or sold in the United States absent registration or an applicable exemption from, or in a transaction not subject to, the registration requirements of the Securities Act and other applicable securities laws.</w:t>
      </w:r>
    </w:p>
    <w:p>
      <w:pPr>
        <w:spacing w:after="0" w:line="183" w:lineRule="exact"/>
        <w:rPr>
          <w:sz w:val="20"/>
          <w:szCs w:val="20"/>
          <w:color w:val="auto"/>
        </w:rPr>
      </w:pPr>
    </w:p>
    <w:p>
      <w:pPr>
        <w:ind w:left="4" w:right="40" w:firstLine="440"/>
        <w:spacing w:after="0" w:line="272" w:lineRule="auto"/>
        <w:rPr>
          <w:sz w:val="20"/>
          <w:szCs w:val="20"/>
          <w:color w:val="auto"/>
        </w:rPr>
      </w:pPr>
      <w:r>
        <w:rPr>
          <w:rFonts w:ascii="Times New Roman" w:cs="Times New Roman" w:eastAsia="Times New Roman" w:hAnsi="Times New Roman"/>
          <w:sz w:val="17"/>
          <w:szCs w:val="17"/>
          <w:color w:val="auto"/>
        </w:rPr>
        <w:t>The net proceeds from the sale of the Notes were approximately $1,728.4 million, after deducting the discounts to the initial purchasers and estimated offering expenses. The Issuer intends to use the net proceeds from this Offering to redeem all of its outstanding 7.125% senior notes due 2025 (the “Wesco 2025 Notes”) on or after June 15, 2024 and for general corporate purposes. Prior to repaying the Wesco 2025 Notes, the Issuer intends to</w:t>
      </w:r>
    </w:p>
    <w:p>
      <w:pPr>
        <w:spacing w:after="0" w:line="2" w:lineRule="exact"/>
        <w:rPr>
          <w:sz w:val="20"/>
          <w:szCs w:val="20"/>
          <w:color w:val="auto"/>
        </w:rPr>
      </w:pPr>
    </w:p>
    <w:p>
      <w:pPr>
        <w:ind w:left="4" w:right="80" w:hanging="4"/>
        <w:spacing w:after="0" w:line="265" w:lineRule="auto"/>
        <w:tabs>
          <w:tab w:leader="none" w:pos="219"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the net proceeds from this Offering temporarily to repay a portion of the amounts outstanding under its accounts receivable securitization facility (the “Receivables Facility”) and to repay all of the outstanding borrowings under its asset-based revolving credit facility (the “ABL Facility”) and</w:t>
      </w:r>
    </w:p>
    <w:p>
      <w:pPr>
        <w:ind w:left="264" w:hanging="264"/>
        <w:spacing w:after="0"/>
        <w:tabs>
          <w:tab w:leader="none" w:pos="2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subsequently redraw under the Receivables Facility and the ABL Facility in an aggregate amount sufficient to redeem the Wesco 2025 Notes.</w:t>
      </w:r>
    </w:p>
    <w:p>
      <w:pPr>
        <w:spacing w:after="0" w:line="207"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The Notes are unsecured and unsubordinated obligations of the Issuer and are guaranteed on an unsecured, unsubordinated basis by the Company and by its wholly-owned subsidiary, Anixter Inc. The 5-Year Notes accrue interest at a rate of 6.375% per annum, payable semi-annually in arrears on March 15 and September 15 of each year, beginning on September 15, 2024. The 5-Year Notes will mature on March 15, 2029. The 8-Year Notes accrue interest at a rate of 6.625% per annum, payable semi-annually in arrears on March 15 and September 15 of each year, beginning on September 15, 2024. The 8-Year Notes will mature on March 15, 2032.</w:t>
      </w:r>
    </w:p>
    <w:p>
      <w:pPr>
        <w:spacing w:after="0" w:line="183"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The Issuer may redeem all or a part of the 5-Year Notes at any time prior to March 15, 2026 by paying a “make-whole” premium plus accrued and unpaid interest, if any, to but excluding the redemption date. In addition, at any time prior to March 15, 2026, the Issuer may redeem up to 35% of the original aggregate principal amount of the 5-Year Notes with the net cash proceeds from certain equity offerings. On or after March 15, 2026, the Issuer may redeem all or a part of the 5-Year Notes on the redemption dates and at the redemption prices specified in the Indenture. The Issuer may redeem all or a part of the 8-Year Notes at any time prior to March 15, 2027 by paying a “make-whole” premium plus accrued and unpaid interest, if any, to but excluding the redemption date. In addition, at any time prior to March 15, 2027, the Issuer may redeem up to 35% of the original aggregate principal amount of the 8-Year Notes with the net cash proceeds from certain equity offerings. On or after March 15, 2027, the Issuer may redeem all or a part of the 8-Year Notes on the redemption dates and at the redemption prices specified in the Indenture.</w:t>
      </w:r>
    </w:p>
    <w:p>
      <w:pPr>
        <w:spacing w:after="0" w:line="192" w:lineRule="exact"/>
        <w:rPr>
          <w:sz w:val="20"/>
          <w:szCs w:val="20"/>
          <w:color w:val="auto"/>
        </w:rPr>
      </w:pPr>
    </w:p>
    <w:p>
      <w:pPr>
        <w:ind w:left="4" w:right="600" w:firstLine="440"/>
        <w:spacing w:after="0" w:line="282" w:lineRule="auto"/>
        <w:rPr>
          <w:sz w:val="20"/>
          <w:szCs w:val="20"/>
          <w:color w:val="auto"/>
        </w:rPr>
      </w:pPr>
      <w:r>
        <w:rPr>
          <w:rFonts w:ascii="Times New Roman" w:cs="Times New Roman" w:eastAsia="Times New Roman" w:hAnsi="Times New Roman"/>
          <w:sz w:val="18"/>
          <w:szCs w:val="18"/>
          <w:color w:val="auto"/>
        </w:rPr>
        <w:t>The Issuer is obligated to offer to repurchase each series of the Notes at a price of 101% of their principal amount plus accrued and unpaid interest, if any, upon the occurrence of certain change of control triggering events, subject to certain qualifications and exceptions.</w:t>
      </w:r>
    </w:p>
    <w:p>
      <w:pPr>
        <w:spacing w:after="0" w:line="162"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The Indenture contains certain covenants that, among other things, limit the Company’s and its restricted subsidiaries’ ability to incur liens on assets, make certain restricted payments, engage in certain sale and leaseback transactions or sell certain assets or merge or consolidate with or into other companies, subject to certain qualifications and exceptions, including the termination of certain of these covenants upon the Notes receiving investment grade credit ratings.</w:t>
      </w:r>
    </w:p>
    <w:p>
      <w:pPr>
        <w:spacing w:after="0" w:line="180" w:lineRule="exact"/>
        <w:rPr>
          <w:sz w:val="20"/>
          <w:szCs w:val="20"/>
          <w:color w:val="auto"/>
        </w:rPr>
      </w:pPr>
    </w:p>
    <w:p>
      <w:pPr>
        <w:ind w:left="4" w:right="100" w:firstLine="440"/>
        <w:spacing w:after="0" w:line="258" w:lineRule="auto"/>
        <w:rPr>
          <w:sz w:val="20"/>
          <w:szCs w:val="20"/>
          <w:color w:val="auto"/>
        </w:rPr>
      </w:pPr>
      <w:r>
        <w:rPr>
          <w:rFonts w:ascii="Times New Roman" w:cs="Times New Roman" w:eastAsia="Times New Roman" w:hAnsi="Times New Roman"/>
          <w:sz w:val="18"/>
          <w:szCs w:val="18"/>
          <w:color w:val="auto"/>
        </w:rPr>
        <w:t>The Indenture contains certain events of default, including, among other things, failure to make required payments, failure to comply with certain agreements or covenants, failure to pay or acceleration of certain other indebtedness, certain events of bankruptcy and insolvency and failure to pay certain judgments. An event of default under the Indenture will allow either the Trustee or the holders of at least 25% in aggregate principal amount of the applicable series of the then-outstanding Notes to accelerate or, in certain cases, will automatically cause the acceleration of the amounts due under the applicable series of Notes.</w:t>
      </w:r>
    </w:p>
    <w:p>
      <w:pPr>
        <w:sectPr>
          <w:pgSz w:w="11900" w:h="16838" w:orient="portrait"/>
          <w:cols w:equalWidth="0" w:num="1">
            <w:col w:w="11004"/>
          </w:cols>
          <w:pgMar w:left="436" w:top="293" w:right="459" w:bottom="1440" w:gutter="0" w:footer="0" w:header="0"/>
        </w:sectPr>
      </w:pPr>
    </w:p>
    <w:bookmarkStart w:id="2" w:name="page3"/>
    <w:bookmarkEnd w:id="2"/>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Copies of the Indenture, the form of the 5-Year Notes and the form of the 8-Year Notes are attached to this Current Report on Form 8-K as exhibits 4.1, 4.2 and 4.3, respectively, and are incorporated by reference as though fully set forth herein. The foregoing summary of the Indenture, the 5-Year Notes and 8-Year Notes does not purport to be complete and is qualified in its entirety by the complete text of each of such documents.</w:t>
      </w:r>
    </w:p>
    <w:p>
      <w:pPr>
        <w:spacing w:after="0" w:line="2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Receivables Purchase Agreement Amendment</w:t>
      </w:r>
    </w:p>
    <w:p>
      <w:pPr>
        <w:spacing w:after="0" w:line="121" w:lineRule="exact"/>
        <w:rPr>
          <w:sz w:val="20"/>
          <w:szCs w:val="20"/>
          <w:color w:val="auto"/>
        </w:rPr>
      </w:pPr>
    </w:p>
    <w:p>
      <w:pPr>
        <w:ind w:left="4" w:right="80" w:firstLine="440"/>
        <w:spacing w:after="0" w:line="268" w:lineRule="auto"/>
        <w:rPr>
          <w:sz w:val="20"/>
          <w:szCs w:val="20"/>
          <w:color w:val="auto"/>
        </w:rPr>
      </w:pPr>
      <w:r>
        <w:rPr>
          <w:rFonts w:ascii="Times New Roman" w:cs="Times New Roman" w:eastAsia="Times New Roman" w:hAnsi="Times New Roman"/>
          <w:sz w:val="17"/>
          <w:szCs w:val="17"/>
          <w:color w:val="auto"/>
        </w:rPr>
        <w:t>On March 8, 2024, Wesco Distribution amended its Receivables Facility pursuant to the terms and conditions of the Eighth Amendment to Fifth Amended and Restated Receivables Purchase Agreement, dated as of March 8, 2024 (the “Receivables Amendment”), by and among WESCO Receivables Corp., Wesco Distribution, the various purchasers and purchaser agents party thereto and PNC Bank, National Association, as administrator, which amends the Fifth Amended and Restated Receivables Purchase Agreement, dated as of June 22, 2020 (the “Receivables Purchase Agreement”). The Receivables Amendment, among other things, (i) reduces the purchase limit under the Receivables Facility from $1,625 million to $1,550 million, (ii) increases the capacity to request increases in the purchase limit under the Receivables Facility from $125 million to $300 million,</w:t>
      </w:r>
    </w:p>
    <w:p>
      <w:pPr>
        <w:spacing w:after="0" w:line="5" w:lineRule="exact"/>
        <w:rPr>
          <w:sz w:val="20"/>
          <w:szCs w:val="20"/>
          <w:color w:val="auto"/>
        </w:rPr>
      </w:pPr>
    </w:p>
    <w:p>
      <w:pPr>
        <w:ind w:left="4" w:hanging="4"/>
        <w:spacing w:after="0" w:line="255" w:lineRule="auto"/>
        <w:tabs>
          <w:tab w:leader="none" w:pos="31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extends the termination date of the Receivables Facility to March 1, 2027, (iv) adds a commercial paper funding option for any conduit purchaser funding its investment through issuances of notes, (v) modifies the drawn spread applicable to investments, and (vi) makes certain other amendments to the Receivables Purchase Agreement.</w:t>
      </w:r>
    </w:p>
    <w:p>
      <w:pPr>
        <w:spacing w:after="0" w:line="186" w:lineRule="exact"/>
        <w:rPr>
          <w:sz w:val="20"/>
          <w:szCs w:val="20"/>
          <w:color w:val="auto"/>
        </w:rPr>
      </w:pPr>
    </w:p>
    <w:p>
      <w:pPr>
        <w:jc w:val="both"/>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A copy of the Receivables Amendment is filed as Exhibit 10.1 to this Current Report on Form 8-K and is incorporated herein by reference. The description above is a summary of the Receivables Amendment, does not purport to be complete, and is qualified in its entirety by the complete text of the Receivables Amendment.</w:t>
      </w:r>
    </w:p>
    <w:p>
      <w:pPr>
        <w:spacing w:after="0" w:line="32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disclosure set forth in Item 1.01 above is incorporated by reference into this Item 2.03.</w:t>
      </w:r>
    </w:p>
    <w:p>
      <w:pPr>
        <w:spacing w:after="0" w:line="370"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700" w:type="dxa"/>
            <w:vAlign w:val="bottom"/>
            <w:gridSpan w:val="7"/>
          </w:tcPr>
          <w:p>
            <w:pPr>
              <w:ind w:left="1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08"/>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Exhibit Number</w:t>
            </w:r>
          </w:p>
        </w:tc>
        <w:tc>
          <w:tcPr>
            <w:tcW w:w="780" w:type="dxa"/>
            <w:vAlign w:val="bottom"/>
          </w:tcPr>
          <w:p>
            <w:pPr>
              <w:spacing w:after="0"/>
              <w:rPr>
                <w:sz w:val="24"/>
                <w:szCs w:val="24"/>
                <w:color w:val="auto"/>
              </w:rPr>
            </w:pPr>
          </w:p>
        </w:tc>
        <w:tc>
          <w:tcPr>
            <w:tcW w:w="892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26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780" w:type="dxa"/>
            <w:vAlign w:val="bottom"/>
          </w:tcPr>
          <w:p>
            <w:pPr>
              <w:spacing w:after="0"/>
              <w:rPr>
                <w:sz w:val="23"/>
                <w:szCs w:val="23"/>
                <w:color w:val="auto"/>
              </w:rPr>
            </w:pPr>
          </w:p>
        </w:tc>
        <w:tc>
          <w:tcPr>
            <w:tcW w:w="83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Indenture, dated as of March 7, 2024, among Wesco Distribution, WESCO and U.S. Bank Trust Company, National</w:t>
            </w:r>
          </w:p>
        </w:tc>
        <w:tc>
          <w:tcPr>
            <w:tcW w:w="560" w:type="dxa"/>
            <w:vAlign w:val="bottom"/>
            <w:gridSpan w:val="2"/>
          </w:tcPr>
          <w:p>
            <w:pPr>
              <w:spacing w:after="0"/>
              <w:rPr>
                <w:sz w:val="23"/>
                <w:szCs w:val="23"/>
                <w:color w:val="auto"/>
              </w:rPr>
            </w:pPr>
          </w:p>
        </w:tc>
      </w:tr>
      <w:tr>
        <w:trPr>
          <w:trHeight w:val="196"/>
        </w:trPr>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9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Association, as trustee.</w:t>
            </w:r>
          </w:p>
        </w:tc>
      </w:tr>
      <w:tr>
        <w:trPr>
          <w:trHeight w:val="20"/>
        </w:trPr>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0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780" w:type="dxa"/>
            <w:vAlign w:val="bottom"/>
          </w:tcPr>
          <w:p>
            <w:pPr>
              <w:spacing w:after="0"/>
              <w:rPr>
                <w:sz w:val="24"/>
                <w:szCs w:val="24"/>
                <w:color w:val="auto"/>
              </w:rPr>
            </w:pPr>
          </w:p>
        </w:tc>
        <w:tc>
          <w:tcPr>
            <w:tcW w:w="89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Form of 6.375% Senior Note due 2029 (included as Exhibit A-1 to the Indenture filed as Exhibit 4.1 hereto).</w:t>
            </w:r>
          </w:p>
        </w:tc>
      </w:tr>
      <w:tr>
        <w:trPr>
          <w:trHeight w:val="20"/>
        </w:trPr>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60" w:type="dxa"/>
            <w:vAlign w:val="bottom"/>
            <w:gridSpan w:val="2"/>
            <w:shd w:val="clear" w:color="auto" w:fill="0000EE"/>
          </w:tcPr>
          <w:p>
            <w:pPr>
              <w:spacing w:after="0" w:line="20" w:lineRule="exact"/>
              <w:rPr>
                <w:sz w:val="1"/>
                <w:szCs w:val="1"/>
                <w:color w:val="auto"/>
              </w:rPr>
            </w:pPr>
          </w:p>
        </w:tc>
        <w:tc>
          <w:tcPr>
            <w:tcW w:w="456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0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780" w:type="dxa"/>
            <w:vAlign w:val="bottom"/>
          </w:tcPr>
          <w:p>
            <w:pPr>
              <w:spacing w:after="0"/>
              <w:rPr>
                <w:sz w:val="24"/>
                <w:szCs w:val="24"/>
                <w:color w:val="auto"/>
              </w:rPr>
            </w:pPr>
          </w:p>
        </w:tc>
        <w:tc>
          <w:tcPr>
            <w:tcW w:w="89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Form of 6.625% Senior Note due 2032 (included as Exhibit A-2 to the Indenture filed as Exhibit 4.1 hereto).</w:t>
            </w:r>
          </w:p>
        </w:tc>
      </w:tr>
      <w:tr>
        <w:trPr>
          <w:trHeight w:val="20"/>
        </w:trPr>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60" w:type="dxa"/>
            <w:vAlign w:val="bottom"/>
            <w:gridSpan w:val="2"/>
            <w:shd w:val="clear" w:color="auto" w:fill="0000EE"/>
          </w:tcPr>
          <w:p>
            <w:pPr>
              <w:spacing w:after="0" w:line="20" w:lineRule="exact"/>
              <w:rPr>
                <w:sz w:val="1"/>
                <w:szCs w:val="1"/>
                <w:color w:val="auto"/>
              </w:rPr>
            </w:pPr>
          </w:p>
        </w:tc>
        <w:tc>
          <w:tcPr>
            <w:tcW w:w="456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0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80" w:type="dxa"/>
            <w:vAlign w:val="bottom"/>
          </w:tcPr>
          <w:p>
            <w:pPr>
              <w:spacing w:after="0"/>
              <w:rPr>
                <w:sz w:val="24"/>
                <w:szCs w:val="24"/>
                <w:color w:val="auto"/>
              </w:rPr>
            </w:pPr>
          </w:p>
        </w:tc>
        <w:tc>
          <w:tcPr>
            <w:tcW w:w="89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Eighth Amendment to Fifth Amended and Restated Receivables Purchase Agreement, dated as of March 8, 2024, by and</w:t>
            </w:r>
          </w:p>
        </w:tc>
      </w:tr>
      <w:tr>
        <w:trPr>
          <w:trHeight w:val="20"/>
        </w:trPr>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60" w:type="dxa"/>
            <w:vAlign w:val="bottom"/>
            <w:gridSpan w:val="2"/>
            <w:shd w:val="clear" w:color="auto" w:fill="0000EE"/>
          </w:tcPr>
          <w:p>
            <w:pPr>
              <w:spacing w:after="0" w:line="20" w:lineRule="exact"/>
              <w:rPr>
                <w:sz w:val="1"/>
                <w:szCs w:val="1"/>
                <w:color w:val="auto"/>
              </w:rPr>
            </w:pPr>
          </w:p>
        </w:tc>
        <w:tc>
          <w:tcPr>
            <w:tcW w:w="544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9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among Wesco Distribution, WESCO Receivables Corp., the various purchasers and purchaser agents party thereto and PNC</w:t>
            </w:r>
          </w:p>
        </w:tc>
      </w:tr>
      <w:tr>
        <w:trPr>
          <w:trHeight w:val="196"/>
        </w:trPr>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9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Bank, National Association, as administrator.</w:t>
            </w:r>
          </w:p>
        </w:tc>
      </w:tr>
      <w:tr>
        <w:trPr>
          <w:trHeight w:val="20"/>
        </w:trPr>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60" w:type="dxa"/>
            <w:vAlign w:val="bottom"/>
            <w:gridSpan w:val="2"/>
            <w:shd w:val="clear" w:color="auto" w:fill="0000EE"/>
          </w:tcPr>
          <w:p>
            <w:pPr>
              <w:spacing w:after="0" w:line="20" w:lineRule="exact"/>
              <w:rPr>
                <w:sz w:val="1"/>
                <w:szCs w:val="1"/>
                <w:color w:val="auto"/>
              </w:rPr>
            </w:pPr>
          </w:p>
        </w:tc>
        <w:tc>
          <w:tcPr>
            <w:tcW w:w="5660" w:type="dxa"/>
            <w:vAlign w:val="bottom"/>
            <w:gridSpan w:val="4"/>
          </w:tcPr>
          <w:p>
            <w:pPr>
              <w:spacing w:after="0" w:line="20" w:lineRule="exact"/>
              <w:rPr>
                <w:sz w:val="1"/>
                <w:szCs w:val="1"/>
                <w:color w:val="auto"/>
              </w:rPr>
            </w:pPr>
          </w:p>
        </w:tc>
      </w:tr>
      <w:tr>
        <w:trPr>
          <w:trHeight w:val="34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80" w:type="dxa"/>
            <w:vAlign w:val="bottom"/>
          </w:tcPr>
          <w:p>
            <w:pPr>
              <w:spacing w:after="0"/>
              <w:rPr>
                <w:sz w:val="24"/>
                <w:szCs w:val="24"/>
                <w:color w:val="auto"/>
              </w:rPr>
            </w:pPr>
          </w:p>
        </w:tc>
        <w:tc>
          <w:tcPr>
            <w:tcW w:w="8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0924"/>
          </w:cols>
          <w:pgMar w:left="436" w:top="297" w:right="5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WESCO International, Inc.</w:t>
            </w:r>
          </w:p>
        </w:tc>
      </w:tr>
      <w:tr>
        <w:trPr>
          <w:trHeight w:val="228"/>
        </w:trPr>
        <w:tc>
          <w:tcPr>
            <w:tcW w:w="4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427"/>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8, 2024</w:t>
            </w:r>
          </w:p>
        </w:tc>
        <w:tc>
          <w:tcPr>
            <w:tcW w:w="60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By:  /s/ David S. Schulz</w:t>
            </w:r>
          </w:p>
        </w:tc>
      </w:tr>
      <w:tr>
        <w:trPr>
          <w:trHeight w:val="205"/>
        </w:trPr>
        <w:tc>
          <w:tcPr>
            <w:tcW w:w="496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(Date)</w:t>
            </w:r>
          </w:p>
        </w:tc>
        <w:tc>
          <w:tcPr>
            <w:tcW w:w="1100" w:type="dxa"/>
            <w:vAlign w:val="bottom"/>
          </w:tcPr>
          <w:p>
            <w:pPr>
              <w:spacing w:after="0"/>
              <w:rPr>
                <w:sz w:val="17"/>
                <w:szCs w:val="17"/>
                <w:color w:val="auto"/>
              </w:rPr>
            </w:pPr>
          </w:p>
        </w:tc>
        <w:tc>
          <w:tcPr>
            <w:tcW w:w="49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David S. Schulz</w:t>
            </w:r>
          </w:p>
        </w:tc>
      </w:tr>
      <w:tr>
        <w:trPr>
          <w:trHeight w:val="234"/>
        </w:trPr>
        <w:tc>
          <w:tcPr>
            <w:tcW w:w="4960" w:type="dxa"/>
            <w:vAlign w:val="bottom"/>
          </w:tcPr>
          <w:p>
            <w:pPr>
              <w:spacing w:after="0"/>
              <w:rPr>
                <w:sz w:val="20"/>
                <w:szCs w:val="20"/>
                <w:color w:val="auto"/>
              </w:rPr>
            </w:pPr>
          </w:p>
        </w:tc>
        <w:tc>
          <w:tcPr>
            <w:tcW w:w="60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ectPr>
          <w:pgSz w:w="11900" w:h="16838" w:orient="portrait"/>
          <w:cols w:equalWidth="0" w:num="1">
            <w:col w:w="11020"/>
          </w:cols>
          <w:pgMar w:left="440" w:top="293"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208280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251460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WESCO DISTRIBUTION, INC.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Issuer,</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the Parent Guarantor named herein,</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the Subsidiary Guarantor named herein</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U.S. BANK TRUST COMPANY, NATIONAL ASSOCIATION</w:t>
      </w:r>
    </w:p>
    <w:p>
      <w:pPr>
        <w:spacing w:after="0" w:line="23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Dated as of March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248920</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6.375% Senior Notes due 2029</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6.625% Senior Notes due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205740</wp:posOffset>
            </wp:positionV>
            <wp:extent cx="6995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248920</wp:posOffset>
            </wp:positionV>
            <wp:extent cx="69951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40" w:type="dxa"/>
            <w:vAlign w:val="bottom"/>
          </w:tcPr>
          <w:p>
            <w:pPr>
              <w:spacing w:after="0"/>
              <w:rPr>
                <w:sz w:val="14"/>
                <w:szCs w:val="14"/>
                <w:color w:val="auto"/>
              </w:rPr>
            </w:pPr>
          </w:p>
        </w:tc>
        <w:tc>
          <w:tcPr>
            <w:tcW w:w="9240" w:type="dxa"/>
            <w:vAlign w:val="bottom"/>
            <w:vMerge w:val="restart"/>
          </w:tcPr>
          <w:p>
            <w:pPr>
              <w:jc w:val="center"/>
              <w:ind w:right="1470"/>
              <w:spacing w:after="0"/>
              <w:rPr>
                <w:sz w:val="20"/>
                <w:szCs w:val="20"/>
                <w:color w:val="auto"/>
              </w:rPr>
            </w:pPr>
            <w:r>
              <w:rPr>
                <w:rFonts w:ascii="Times New Roman" w:cs="Times New Roman" w:eastAsia="Times New Roman" w:hAnsi="Times New Roman"/>
                <w:sz w:val="18"/>
                <w:szCs w:val="18"/>
                <w:color w:val="auto"/>
                <w:w w:val="98"/>
              </w:rPr>
              <w:t>ARTICLE ONE</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c>
          <w:tcPr>
            <w:tcW w:w="0" w:type="dxa"/>
            <w:vAlign w:val="bottom"/>
          </w:tcPr>
          <w:p>
            <w:pPr>
              <w:spacing w:after="0"/>
              <w:rPr>
                <w:sz w:val="1"/>
                <w:szCs w:val="1"/>
                <w:color w:val="auto"/>
              </w:rPr>
            </w:pPr>
          </w:p>
        </w:tc>
      </w:tr>
      <w:tr>
        <w:trPr>
          <w:trHeight w:val="196"/>
        </w:trPr>
        <w:tc>
          <w:tcPr>
            <w:tcW w:w="1440" w:type="dxa"/>
            <w:vAlign w:val="bottom"/>
          </w:tcPr>
          <w:p>
            <w:pPr>
              <w:spacing w:after="0"/>
              <w:rPr>
                <w:sz w:val="17"/>
                <w:szCs w:val="17"/>
                <w:color w:val="auto"/>
              </w:rPr>
            </w:pPr>
          </w:p>
        </w:tc>
        <w:tc>
          <w:tcPr>
            <w:tcW w:w="92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440" w:type="dxa"/>
            <w:vAlign w:val="bottom"/>
          </w:tcPr>
          <w:p>
            <w:pPr>
              <w:spacing w:after="0"/>
              <w:rPr>
                <w:sz w:val="24"/>
                <w:szCs w:val="24"/>
                <w:color w:val="auto"/>
              </w:rPr>
            </w:pPr>
          </w:p>
        </w:tc>
        <w:tc>
          <w:tcPr>
            <w:tcW w:w="9240" w:type="dxa"/>
            <w:vAlign w:val="bottom"/>
          </w:tcPr>
          <w:p>
            <w:pPr>
              <w:jc w:val="center"/>
              <w:ind w:right="1450"/>
              <w:spacing w:after="0"/>
              <w:rPr>
                <w:sz w:val="20"/>
                <w:szCs w:val="20"/>
                <w:color w:val="auto"/>
              </w:rPr>
            </w:pPr>
            <w:r>
              <w:rPr>
                <w:rFonts w:ascii="Times New Roman" w:cs="Times New Roman" w:eastAsia="Times New Roman" w:hAnsi="Times New Roman"/>
                <w:sz w:val="18"/>
                <w:szCs w:val="18"/>
                <w:color w:val="auto"/>
                <w:w w:val="99"/>
              </w:rPr>
              <w:t>DEFINITIONS AND INCORPORATION BY REFERENCE</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 Incorporation by Reference of Trust Indenture Act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Rules of Construction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24"/>
        </w:trPr>
        <w:tc>
          <w:tcPr>
            <w:tcW w:w="1440" w:type="dxa"/>
            <w:vAlign w:val="bottom"/>
          </w:tcPr>
          <w:p>
            <w:pPr>
              <w:spacing w:after="0"/>
              <w:rPr>
                <w:sz w:val="24"/>
                <w:szCs w:val="24"/>
                <w:color w:val="auto"/>
              </w:rPr>
            </w:pPr>
          </w:p>
        </w:tc>
        <w:tc>
          <w:tcPr>
            <w:tcW w:w="924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w w:val="98"/>
              </w:rPr>
              <w:t>ARTICLE TWO</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40" w:type="dxa"/>
            <w:vAlign w:val="bottom"/>
          </w:tcPr>
          <w:p>
            <w:pPr>
              <w:spacing w:after="0"/>
              <w:rPr>
                <w:sz w:val="24"/>
                <w:szCs w:val="24"/>
                <w:color w:val="auto"/>
              </w:rPr>
            </w:pPr>
          </w:p>
        </w:tc>
        <w:tc>
          <w:tcPr>
            <w:tcW w:w="924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w w:val="98"/>
              </w:rPr>
              <w:t>THE SECURITIES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Amount of Notes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and Dating; Legends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2.03.</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Execution and Authentication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Registrar and Paying Agent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Paying Agent To Hold Money in Trust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Noteholder Lists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2.07.</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Transfer and Exchange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2.08.</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Replacement Notes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2.09.</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Outstanding Notes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Treasury Notes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Temporary Notes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2.12.</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Cancellation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2.13.</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Defaulted Interest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2.14.</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CUSIP and ISIN Numbers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2.15.</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Deposit of Moneys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2.16.</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Book-Entry Provisions for Global Notes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2.17.</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Transfer and Exchange of Notes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2.18.</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Computation of Interest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324"/>
        </w:trPr>
        <w:tc>
          <w:tcPr>
            <w:tcW w:w="1440" w:type="dxa"/>
            <w:vAlign w:val="bottom"/>
          </w:tcPr>
          <w:p>
            <w:pPr>
              <w:spacing w:after="0"/>
              <w:rPr>
                <w:sz w:val="24"/>
                <w:szCs w:val="24"/>
                <w:color w:val="auto"/>
              </w:rPr>
            </w:pPr>
          </w:p>
        </w:tc>
        <w:tc>
          <w:tcPr>
            <w:tcW w:w="924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w w:val="98"/>
              </w:rPr>
              <w:t>ARTICLE THREE</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40" w:type="dxa"/>
            <w:vAlign w:val="bottom"/>
          </w:tcPr>
          <w:p>
            <w:pPr>
              <w:spacing w:after="0"/>
              <w:rPr>
                <w:sz w:val="24"/>
                <w:szCs w:val="24"/>
                <w:color w:val="auto"/>
              </w:rPr>
            </w:pPr>
          </w:p>
        </w:tc>
        <w:tc>
          <w:tcPr>
            <w:tcW w:w="924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w w:val="99"/>
              </w:rPr>
              <w:t>REDEMPTION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Election To Redeem; Notices to Trustee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Selection by Trustee of Notes To Be Redeemed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Notice of Redemption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3.04.</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Effect of Notice of Redemption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3.05.</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Deposit of Redemption Price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3.06.</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Notes Redeemed in Part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70" w:right="4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1"/>
        </w:trPr>
        <w:tc>
          <w:tcPr>
            <w:tcW w:w="1440" w:type="dxa"/>
            <w:vAlign w:val="bottom"/>
          </w:tcPr>
          <w:p>
            <w:pPr>
              <w:spacing w:after="0"/>
              <w:rPr>
                <w:sz w:val="14"/>
                <w:szCs w:val="14"/>
                <w:color w:val="auto"/>
              </w:rPr>
            </w:pPr>
          </w:p>
        </w:tc>
        <w:tc>
          <w:tcPr>
            <w:tcW w:w="9240" w:type="dxa"/>
            <w:vAlign w:val="bottom"/>
            <w:vMerge w:val="restart"/>
          </w:tcPr>
          <w:p>
            <w:pPr>
              <w:jc w:val="center"/>
              <w:ind w:right="1470"/>
              <w:spacing w:after="0"/>
              <w:rPr>
                <w:sz w:val="20"/>
                <w:szCs w:val="20"/>
                <w:color w:val="auto"/>
              </w:rPr>
            </w:pPr>
            <w:r>
              <w:rPr>
                <w:rFonts w:ascii="Times New Roman" w:cs="Times New Roman" w:eastAsia="Times New Roman" w:hAnsi="Times New Roman"/>
                <w:sz w:val="18"/>
                <w:szCs w:val="18"/>
                <w:color w:val="auto"/>
                <w:w w:val="99"/>
              </w:rPr>
              <w:t>ARTICLE FOUR</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c>
          <w:tcPr>
            <w:tcW w:w="0" w:type="dxa"/>
            <w:vAlign w:val="bottom"/>
          </w:tcPr>
          <w:p>
            <w:pPr>
              <w:spacing w:after="0"/>
              <w:rPr>
                <w:sz w:val="1"/>
                <w:szCs w:val="1"/>
                <w:color w:val="auto"/>
              </w:rPr>
            </w:pPr>
          </w:p>
        </w:tc>
      </w:tr>
      <w:tr>
        <w:trPr>
          <w:trHeight w:val="196"/>
        </w:trPr>
        <w:tc>
          <w:tcPr>
            <w:tcW w:w="1440" w:type="dxa"/>
            <w:vAlign w:val="bottom"/>
          </w:tcPr>
          <w:p>
            <w:pPr>
              <w:spacing w:after="0"/>
              <w:rPr>
                <w:sz w:val="17"/>
                <w:szCs w:val="17"/>
                <w:color w:val="auto"/>
              </w:rPr>
            </w:pPr>
          </w:p>
        </w:tc>
        <w:tc>
          <w:tcPr>
            <w:tcW w:w="92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440" w:type="dxa"/>
            <w:vAlign w:val="bottom"/>
          </w:tcPr>
          <w:p>
            <w:pPr>
              <w:spacing w:after="0"/>
              <w:rPr>
                <w:sz w:val="24"/>
                <w:szCs w:val="24"/>
                <w:color w:val="auto"/>
              </w:rPr>
            </w:pPr>
          </w:p>
        </w:tc>
        <w:tc>
          <w:tcPr>
            <w:tcW w:w="924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w w:val="99"/>
              </w:rPr>
              <w:t>COVENANTS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Payment of Notes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Maintenance of Office or Agency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4.03.</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Legal Existence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4.04.</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Waiver of Stay, Extension or Usury Laws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4.05.</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Compliance Certificate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4.06.</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Taxes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4.07.</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Repurchase at the Option of Holders upon Change of Control</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4.08.</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Limitation on Asset Disposition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4.09.</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Limitation on Restricted Payments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4.10.</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Limitation on Liens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4.11.</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[reserved]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4.12.</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Limitation on Sale and Leaseback Transactions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4.13.</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Reports to Holders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4.14.</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Additional Guarantees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4.15.</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Termination of Certain Covenants When Notes are Rated Investment Grade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324"/>
        </w:trPr>
        <w:tc>
          <w:tcPr>
            <w:tcW w:w="1440" w:type="dxa"/>
            <w:vAlign w:val="bottom"/>
          </w:tcPr>
          <w:p>
            <w:pPr>
              <w:spacing w:after="0"/>
              <w:rPr>
                <w:sz w:val="24"/>
                <w:szCs w:val="24"/>
                <w:color w:val="auto"/>
              </w:rPr>
            </w:pPr>
          </w:p>
        </w:tc>
        <w:tc>
          <w:tcPr>
            <w:tcW w:w="924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w w:val="99"/>
              </w:rPr>
              <w:t>ARTICLE FIVE</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40" w:type="dxa"/>
            <w:vAlign w:val="bottom"/>
          </w:tcPr>
          <w:p>
            <w:pPr>
              <w:spacing w:after="0"/>
              <w:rPr>
                <w:sz w:val="24"/>
                <w:szCs w:val="24"/>
                <w:color w:val="auto"/>
              </w:rPr>
            </w:pPr>
          </w:p>
        </w:tc>
        <w:tc>
          <w:tcPr>
            <w:tcW w:w="924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rPr>
              <w:t>SUCCESSOR OBLIGOR</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Merger, Consolidation or Sale of Assets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Successor Person Substituted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924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w w:val="98"/>
              </w:rPr>
              <w:t>ARTICLE SIX</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440" w:type="dxa"/>
            <w:vAlign w:val="bottom"/>
          </w:tcPr>
          <w:p>
            <w:pPr>
              <w:spacing w:after="0"/>
              <w:rPr>
                <w:sz w:val="24"/>
                <w:szCs w:val="24"/>
                <w:color w:val="auto"/>
              </w:rPr>
            </w:pPr>
          </w:p>
        </w:tc>
        <w:tc>
          <w:tcPr>
            <w:tcW w:w="924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w w:val="99"/>
              </w:rPr>
              <w:t>DEFAULTS AND REMEDIES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Events of Default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Acceleration of Maturity; Rescission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Remedies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6.04.</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Waiver of Existing Defaults and Events of Default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6.05.</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Control by Majority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6.06.</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Limitation on Suits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6.07.</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 Personal Liability of Directors, Officers, Employees and Stockholders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6.08.</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Rights of Holders To Receive Payment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6.09.</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Collection Suit by Trustee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Trustee May File Proofs of Claim</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6.11.</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Priorities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6.12.</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Undertaking for Costs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65" w:right="4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1"/>
        </w:trPr>
        <w:tc>
          <w:tcPr>
            <w:tcW w:w="1440" w:type="dxa"/>
            <w:vAlign w:val="bottom"/>
          </w:tcPr>
          <w:p>
            <w:pPr>
              <w:spacing w:after="0"/>
              <w:rPr>
                <w:sz w:val="14"/>
                <w:szCs w:val="14"/>
                <w:color w:val="auto"/>
              </w:rPr>
            </w:pPr>
          </w:p>
        </w:tc>
        <w:tc>
          <w:tcPr>
            <w:tcW w:w="9240" w:type="dxa"/>
            <w:vAlign w:val="bottom"/>
            <w:vMerge w:val="restart"/>
          </w:tcPr>
          <w:p>
            <w:pPr>
              <w:jc w:val="center"/>
              <w:ind w:right="1470"/>
              <w:spacing w:after="0"/>
              <w:rPr>
                <w:sz w:val="20"/>
                <w:szCs w:val="20"/>
                <w:color w:val="auto"/>
              </w:rPr>
            </w:pPr>
            <w:r>
              <w:rPr>
                <w:rFonts w:ascii="Times New Roman" w:cs="Times New Roman" w:eastAsia="Times New Roman" w:hAnsi="Times New Roman"/>
                <w:sz w:val="18"/>
                <w:szCs w:val="18"/>
                <w:color w:val="auto"/>
                <w:w w:val="98"/>
              </w:rPr>
              <w:t>ARTICLE SEVEN</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c>
          <w:tcPr>
            <w:tcW w:w="0" w:type="dxa"/>
            <w:vAlign w:val="bottom"/>
          </w:tcPr>
          <w:p>
            <w:pPr>
              <w:spacing w:after="0"/>
              <w:rPr>
                <w:sz w:val="1"/>
                <w:szCs w:val="1"/>
                <w:color w:val="auto"/>
              </w:rPr>
            </w:pPr>
          </w:p>
        </w:tc>
      </w:tr>
      <w:tr>
        <w:trPr>
          <w:trHeight w:val="196"/>
        </w:trPr>
        <w:tc>
          <w:tcPr>
            <w:tcW w:w="1440" w:type="dxa"/>
            <w:vAlign w:val="bottom"/>
          </w:tcPr>
          <w:p>
            <w:pPr>
              <w:spacing w:after="0"/>
              <w:rPr>
                <w:sz w:val="17"/>
                <w:szCs w:val="17"/>
                <w:color w:val="auto"/>
              </w:rPr>
            </w:pPr>
          </w:p>
        </w:tc>
        <w:tc>
          <w:tcPr>
            <w:tcW w:w="92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440" w:type="dxa"/>
            <w:vAlign w:val="bottom"/>
          </w:tcPr>
          <w:p>
            <w:pPr>
              <w:spacing w:after="0"/>
              <w:rPr>
                <w:sz w:val="24"/>
                <w:szCs w:val="24"/>
                <w:color w:val="auto"/>
              </w:rPr>
            </w:pPr>
          </w:p>
        </w:tc>
        <w:tc>
          <w:tcPr>
            <w:tcW w:w="924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rPr>
              <w:t>TRUSTEE</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Duties of Trustee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7.02.</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Rights of Trustee.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7.03.</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Individual Rights of Trustee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7.04.</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Trustee’s Disclaimer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7.05.</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Notice of Defaults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7.06.</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[reserved]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7.07.</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Compensation and Indemnity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7.08.</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Replacement of Trustee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7.09.</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Successor Trustee by Consolidation, Merger, etc.</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7.10.</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Eligibility; Disqualification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7.11.</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Paying Agents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924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w w:val="98"/>
              </w:rPr>
              <w:t>ARTICLE EIGHT</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440" w:type="dxa"/>
            <w:vAlign w:val="bottom"/>
          </w:tcPr>
          <w:p>
            <w:pPr>
              <w:spacing w:after="0"/>
              <w:rPr>
                <w:sz w:val="24"/>
                <w:szCs w:val="24"/>
                <w:color w:val="auto"/>
              </w:rPr>
            </w:pPr>
          </w:p>
        </w:tc>
        <w:tc>
          <w:tcPr>
            <w:tcW w:w="924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w w:val="99"/>
              </w:rPr>
              <w:t>AMENDMENT, SUPPLEMENT AND WAIVER</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Without Consent of Noteholders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8.02.</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With Consent of Noteholders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8.03.</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Revocation and Effect of Consents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8.04.</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Notation on or Exchange of Notes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8.05.</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Trustee To Sign Amendments, etc.</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924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rPr>
              <w:t>ARTICLE NINE</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440" w:type="dxa"/>
            <w:vAlign w:val="bottom"/>
          </w:tcPr>
          <w:p>
            <w:pPr>
              <w:spacing w:after="0"/>
              <w:rPr>
                <w:sz w:val="24"/>
                <w:szCs w:val="24"/>
                <w:color w:val="auto"/>
              </w:rPr>
            </w:pPr>
          </w:p>
        </w:tc>
        <w:tc>
          <w:tcPr>
            <w:tcW w:w="924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w w:val="99"/>
              </w:rPr>
              <w:t>SATISFACTION AND DISCHARGE OF INDENTURE; DEFEASANCE</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Satisfaction and Discharge of Indenture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Legal Defeasance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Covenant Defeasance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Conditions to Defeasance or Covenant Defeasance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Deposited Money and U.S. Government Obligations To Be Held in Trust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9.06.</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Reinstatement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9.07.</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Moneys Held by Paying Agent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9.08.</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Moneys Held by Trustee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65" w:right="4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1"/>
        </w:trPr>
        <w:tc>
          <w:tcPr>
            <w:tcW w:w="1500" w:type="dxa"/>
            <w:vAlign w:val="bottom"/>
          </w:tcPr>
          <w:p>
            <w:pPr>
              <w:spacing w:after="0"/>
              <w:rPr>
                <w:sz w:val="14"/>
                <w:szCs w:val="14"/>
                <w:color w:val="auto"/>
              </w:rPr>
            </w:pPr>
          </w:p>
        </w:tc>
        <w:tc>
          <w:tcPr>
            <w:tcW w:w="9120" w:type="dxa"/>
            <w:vAlign w:val="bottom"/>
            <w:vMerge w:val="restart"/>
          </w:tcPr>
          <w:p>
            <w:pPr>
              <w:jc w:val="center"/>
              <w:ind w:right="1530"/>
              <w:spacing w:after="0"/>
              <w:rPr>
                <w:sz w:val="20"/>
                <w:szCs w:val="20"/>
                <w:color w:val="auto"/>
              </w:rPr>
            </w:pPr>
            <w:r>
              <w:rPr>
                <w:rFonts w:ascii="Times New Roman" w:cs="Times New Roman" w:eastAsia="Times New Roman" w:hAnsi="Times New Roman"/>
                <w:sz w:val="18"/>
                <w:szCs w:val="18"/>
                <w:color w:val="auto"/>
                <w:w w:val="98"/>
              </w:rPr>
              <w:t>ARTICLE TEN</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91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500" w:type="dxa"/>
            <w:vAlign w:val="bottom"/>
          </w:tcPr>
          <w:p>
            <w:pPr>
              <w:spacing w:after="0"/>
              <w:rPr>
                <w:sz w:val="24"/>
                <w:szCs w:val="24"/>
                <w:color w:val="auto"/>
              </w:rPr>
            </w:pPr>
          </w:p>
        </w:tc>
        <w:tc>
          <w:tcPr>
            <w:tcW w:w="9120" w:type="dxa"/>
            <w:vAlign w:val="bottom"/>
          </w:tcPr>
          <w:p>
            <w:pPr>
              <w:jc w:val="center"/>
              <w:ind w:right="1510"/>
              <w:spacing w:after="0"/>
              <w:rPr>
                <w:sz w:val="20"/>
                <w:szCs w:val="20"/>
                <w:color w:val="auto"/>
              </w:rPr>
            </w:pPr>
            <w:r>
              <w:rPr>
                <w:rFonts w:ascii="Times New Roman" w:cs="Times New Roman" w:eastAsia="Times New Roman" w:hAnsi="Times New Roman"/>
                <w:sz w:val="18"/>
                <w:szCs w:val="18"/>
                <w:color w:val="auto"/>
                <w:w w:val="99"/>
              </w:rPr>
              <w:t>GUARANTEE OF SECURITIES</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10.01.</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Guarantee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10.02.</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Execution and Delivery of Guarantee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10.03.</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Release of Guarantors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10.04.</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Waiver of Subrogation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10.05.</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Notice to Trustee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10.06.</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Limitation on Guarantor’s Liability</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324"/>
        </w:trPr>
        <w:tc>
          <w:tcPr>
            <w:tcW w:w="1500" w:type="dxa"/>
            <w:vAlign w:val="bottom"/>
          </w:tcPr>
          <w:p>
            <w:pPr>
              <w:spacing w:after="0"/>
              <w:rPr>
                <w:sz w:val="24"/>
                <w:szCs w:val="24"/>
                <w:color w:val="auto"/>
              </w:rPr>
            </w:pPr>
          </w:p>
        </w:tc>
        <w:tc>
          <w:tcPr>
            <w:tcW w:w="9120" w:type="dxa"/>
            <w:vAlign w:val="bottom"/>
          </w:tcPr>
          <w:p>
            <w:pPr>
              <w:jc w:val="center"/>
              <w:ind w:right="1530"/>
              <w:spacing w:after="0"/>
              <w:rPr>
                <w:sz w:val="20"/>
                <w:szCs w:val="20"/>
                <w:color w:val="auto"/>
              </w:rPr>
            </w:pPr>
            <w:r>
              <w:rPr>
                <w:rFonts w:ascii="Times New Roman" w:cs="Times New Roman" w:eastAsia="Times New Roman" w:hAnsi="Times New Roman"/>
                <w:sz w:val="18"/>
                <w:szCs w:val="18"/>
                <w:color w:val="auto"/>
                <w:w w:val="99"/>
              </w:rPr>
              <w:t>ARTICLE ELEVEN</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500" w:type="dxa"/>
            <w:vAlign w:val="bottom"/>
          </w:tcPr>
          <w:p>
            <w:pPr>
              <w:spacing w:after="0"/>
              <w:rPr>
                <w:sz w:val="24"/>
                <w:szCs w:val="24"/>
                <w:color w:val="auto"/>
              </w:rPr>
            </w:pPr>
          </w:p>
        </w:tc>
        <w:tc>
          <w:tcPr>
            <w:tcW w:w="9120" w:type="dxa"/>
            <w:vAlign w:val="bottom"/>
          </w:tcPr>
          <w:p>
            <w:pPr>
              <w:jc w:val="center"/>
              <w:ind w:right="1530"/>
              <w:spacing w:after="0"/>
              <w:rPr>
                <w:sz w:val="20"/>
                <w:szCs w:val="20"/>
                <w:color w:val="auto"/>
              </w:rPr>
            </w:pPr>
            <w:r>
              <w:rPr>
                <w:rFonts w:ascii="Times New Roman" w:cs="Times New Roman" w:eastAsia="Times New Roman" w:hAnsi="Times New Roman"/>
                <w:sz w:val="18"/>
                <w:szCs w:val="18"/>
                <w:color w:val="auto"/>
                <w:w w:val="99"/>
              </w:rPr>
              <w:t>MISCELLANEOUS</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11.01.</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Notices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11.02.</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[reserved]</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11.03.</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 and Opinion as to Conditions Precedent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11.04.</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Statements Required in Certificate and Opinion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11.05.</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Rules by Trustee and Agents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11.06.</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Business Days; Legal Holidays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11.07.</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Governing Law</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11.08.</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Adverse Interpretation of Other Agreements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11.09.</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Successors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11.10.</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Multiple Counterparts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11.11.</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Table of Contents, Headings, etc.</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11.12.</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Separability</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11.13.</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Waiver of Jury Trial</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11.14.</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Force Majeure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11.15.</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U.S.A. Patriot Act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32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SIGNATURES</w:t>
            </w:r>
          </w:p>
        </w:tc>
        <w:tc>
          <w:tcPr>
            <w:tcW w:w="9120" w:type="dxa"/>
            <w:vAlign w:val="bottom"/>
            <w:vMerge w:val="restart"/>
          </w:tcPr>
          <w:p>
            <w:pPr>
              <w:jc w:val="center"/>
              <w:ind w:right="1530"/>
              <w:spacing w:after="0"/>
              <w:rPr>
                <w:sz w:val="20"/>
                <w:szCs w:val="20"/>
                <w:color w:val="auto"/>
              </w:rPr>
            </w:pPr>
            <w:r>
              <w:rPr>
                <w:rFonts w:ascii="Times New Roman" w:cs="Times New Roman" w:eastAsia="Times New Roman" w:hAnsi="Times New Roman"/>
                <w:sz w:val="18"/>
                <w:szCs w:val="18"/>
                <w:color w:val="auto"/>
                <w:w w:val="99"/>
              </w:rPr>
              <w:t>EXHIBITS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8"/>
        </w:trPr>
        <w:tc>
          <w:tcPr>
            <w:tcW w:w="1500" w:type="dxa"/>
            <w:vAlign w:val="bottom"/>
          </w:tcPr>
          <w:p>
            <w:pPr>
              <w:spacing w:after="0"/>
              <w:rPr>
                <w:sz w:val="17"/>
                <w:szCs w:val="17"/>
                <w:color w:val="auto"/>
              </w:rPr>
            </w:pPr>
          </w:p>
        </w:tc>
        <w:tc>
          <w:tcPr>
            <w:tcW w:w="91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Exhibit A-1.</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Senior Note Due 2029</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Exhibit A-2.</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Senior Note Due 2032</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Private Placement Legend</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Legend for Global Note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C-1</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Regulation S Legend</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D-1</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Certificate of Transfer</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E-1</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Certificate of Exchange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Exhibit G.</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Supplemental Indenture to be Delivered by Subsequent Guarantors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G-1</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60"/>
          </w:cols>
          <w:pgMar w:left="440" w:top="265" w:right="499" w:bottom="1440" w:gutter="0" w:footer="0" w:header="0"/>
        </w:sectPr>
      </w:pPr>
    </w:p>
    <w:bookmarkStart w:id="9" w:name="page10"/>
    <w:bookmarkEnd w:id="9"/>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INDENTURE, dated as of March 7, 2024, among WESCO Distribution, Inc., a Delaware corporation and its successors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the Parent Guarantor (as defined below), the Subsidiary Guarantor (as defined below) and U.S. Bank Trust Company, National Association,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Each party agrees as follows for the benefit of the other parties and for the equal and ratable benefit of the Holders (as defined below) of the 6.375% Senior Notes due 2029 (the “</w:t>
      </w:r>
      <w:r>
        <w:rPr>
          <w:rFonts w:ascii="Times New Roman" w:cs="Times New Roman" w:eastAsia="Times New Roman" w:hAnsi="Times New Roman"/>
          <w:sz w:val="18"/>
          <w:szCs w:val="18"/>
          <w:u w:val="single" w:color="auto"/>
          <w:color w:val="auto"/>
        </w:rPr>
        <w:t>5-Year Notes</w:t>
      </w:r>
      <w:r>
        <w:rPr>
          <w:rFonts w:ascii="Times New Roman" w:cs="Times New Roman" w:eastAsia="Times New Roman" w:hAnsi="Times New Roman"/>
          <w:sz w:val="18"/>
          <w:szCs w:val="18"/>
          <w:color w:val="auto"/>
        </w:rPr>
        <w:t>”) and the 6.625% Senior Notes due 2032 (the “</w:t>
      </w:r>
      <w:r>
        <w:rPr>
          <w:rFonts w:ascii="Times New Roman" w:cs="Times New Roman" w:eastAsia="Times New Roman" w:hAnsi="Times New Roman"/>
          <w:sz w:val="18"/>
          <w:szCs w:val="18"/>
          <w:u w:val="single" w:color="auto"/>
          <w:color w:val="auto"/>
        </w:rPr>
        <w:t>8-Year Notes</w:t>
      </w:r>
      <w:r>
        <w:rPr>
          <w:rFonts w:ascii="Times New Roman" w:cs="Times New Roman" w:eastAsia="Times New Roman" w:hAnsi="Times New Roman"/>
          <w:sz w:val="18"/>
          <w:szCs w:val="18"/>
          <w:color w:val="auto"/>
        </w:rPr>
        <w:t>” and, together with the 5-Year Notes,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ONE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 AND INCORPORATION BY REFERENCE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5-Year Notes</w:t>
      </w:r>
      <w:r>
        <w:rPr>
          <w:rFonts w:ascii="Times New Roman" w:cs="Times New Roman" w:eastAsia="Times New Roman" w:hAnsi="Times New Roman"/>
          <w:sz w:val="18"/>
          <w:szCs w:val="18"/>
          <w:color w:val="auto"/>
        </w:rPr>
        <w:t>” has the meaning set forth in the recitals hereto.</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5-Year Notes Applicable Treasury Rate</w:t>
      </w:r>
      <w:r>
        <w:rPr>
          <w:rFonts w:ascii="Times New Roman" w:cs="Times New Roman" w:eastAsia="Times New Roman" w:hAnsi="Times New Roman"/>
          <w:sz w:val="18"/>
          <w:szCs w:val="18"/>
          <w:color w:val="auto"/>
        </w:rPr>
        <w:t>” for any 5-Year Notes Make-Whole Redemption Date means the yield to maturity at the time of computation of United States Treasury securities with a constant maturity (as compiled and published in the most recent Federal Reserve Statistical Release H.15(519) that has become publicly available two Business Days prior to the date the Issuer gives notice of such 5-Year Notes Make-Whole Redemption Date (or, if such Statistical Release is no longer published, any publicly available source of similar market data)) most nearly equal to the period from such 5-Year Notes Make-Whole Redemption Date to March 15, 2026; provided, however, that if the period from the 5-Year Notes Make-Whole Redemption Date to March 15, 2026 is not equal to the constant maturity of a United States Treasury security for which a weekly average yield is given, the 5-Year Notes Applicable Treasury Rate shall be obtained by linear interpolation (calculated to the nearest one-twelfth of a year) from the weekly average yields of United States Treasury securities for which such yields are given except that if the period from the 5-Year Notes Make-Whole Redemption Date to March 15, 2026 is less than one year, the weekly average yield on actually traded United States Treasury securities adjusted to a constant maturity of one year shall be used.</w:t>
      </w:r>
    </w:p>
    <w:p>
      <w:pPr>
        <w:spacing w:after="0" w:line="194"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5-Year Notes Make-Whole Premium</w:t>
      </w:r>
      <w:r>
        <w:rPr>
          <w:rFonts w:ascii="Times New Roman" w:cs="Times New Roman" w:eastAsia="Times New Roman" w:hAnsi="Times New Roman"/>
          <w:sz w:val="18"/>
          <w:szCs w:val="18"/>
          <w:color w:val="auto"/>
        </w:rPr>
        <w:t>” means, with respect to a 5-Year Note at any 5-Year Notes Make-Whole Redemption Date, an amount equal to the greater of (i) 1.0% of the principal amount of such 5-Year Note and (ii) the excess, if any, of (x) the present value of the sum of the principal amount and premium that would be payable on such 5-Year Note on March 15, 2026 and all remaining interest payments to and including March 15, 2026 (but excluding any interest accrued to the 5-Year Notes Make-Whole Redemption Date), discounted on a semiannual basis (assuming a 360-day year consisting of twelve 30-day months) from March 15, 2026 to the 5-Year Notes Make-Whole Redemption Date at a per annum interest rate equal to the 5-Year Notes Applicable Treasury Rate on such 5-Year Notes Make-Whole Redemption Date plus 0.50%, over (y) the outstanding principal amount of such 5-Year Note.</w:t>
      </w:r>
    </w:p>
    <w:p>
      <w:pPr>
        <w:sectPr>
          <w:pgSz w:w="11900" w:h="16838" w:orient="portrait"/>
          <w:cols w:equalWidth="0" w:num="1">
            <w:col w:w="11000"/>
          </w:cols>
          <w:pgMar w:left="440" w:top="270" w:right="459" w:bottom="1440" w:gutter="0" w:footer="0" w:header="0"/>
        </w:sectPr>
      </w:pPr>
    </w:p>
    <w:bookmarkStart w:id="10" w:name="page11"/>
    <w:bookmarkEnd w:id="10"/>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5-Year Notes Make-Whole Redemption Date</w:t>
      </w:r>
      <w:r>
        <w:rPr>
          <w:rFonts w:ascii="Times New Roman" w:cs="Times New Roman" w:eastAsia="Times New Roman" w:hAnsi="Times New Roman"/>
          <w:sz w:val="18"/>
          <w:szCs w:val="18"/>
          <w:color w:val="auto"/>
        </w:rPr>
        <w:t>” with respect to a 5-Year Notes Make-Whole Redemption, means the date such 5-Year Notes Make-Whole Redemption is effectuated (and not, for the avoidance of doubt, the date of the related notice of redemption).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8-Year Notes</w:t>
      </w:r>
      <w:r>
        <w:rPr>
          <w:rFonts w:ascii="Times New Roman" w:cs="Times New Roman" w:eastAsia="Times New Roman" w:hAnsi="Times New Roman"/>
          <w:sz w:val="18"/>
          <w:szCs w:val="18"/>
          <w:color w:val="auto"/>
        </w:rPr>
        <w:t>” has the meaning set forth in the recitals hereto.</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8-Year Notes Applicable Treasury Rate</w:t>
      </w:r>
      <w:r>
        <w:rPr>
          <w:rFonts w:ascii="Times New Roman" w:cs="Times New Roman" w:eastAsia="Times New Roman" w:hAnsi="Times New Roman"/>
          <w:sz w:val="18"/>
          <w:szCs w:val="18"/>
          <w:color w:val="auto"/>
        </w:rPr>
        <w:t>” for any 8-Year Notes Make-Whole Redemption Date means the yield to maturity at the time of computation of United States Treasury securities with a constant maturity (as compiled and published in the most recent Federal Reserve Statistical Release H.15(519) that has become publicly available two Business Days prior to the date the Issuer gives notice of such 8-Year Notes Make-Whole Redemption Date (or, if such Statistical Release is no longer published, any publicly available source of similar market data)) most nearly equal to the period from the 8-Year Notes Make-Whole Redemption Date to March 15, 2027; provided, however, that if the period from the 8-Year Notes Make-Whole Redemption Date to March 15, 2027 is not equal to the constant maturity of a United States Treasury security for which a weekly average yield is given, the 8-Year Notes Applicable Treasury Rate shall be obtained by linear interpolation (calculated to the nearest one-twelfth of a year) from the weekly average yields of United States Treasury securities for which such yields are given except that if the period from the 8-Year Notes Make-Whole Redemption Date to March 15, 2027 is less than one year, the weekly average yield on actually traded United States Treasury securities adjusted to a constant maturity of one year shall be used.</w:t>
      </w:r>
    </w:p>
    <w:p>
      <w:pPr>
        <w:spacing w:after="0" w:line="194" w:lineRule="exact"/>
        <w:rPr>
          <w:sz w:val="20"/>
          <w:szCs w:val="20"/>
          <w:color w:val="auto"/>
        </w:rPr>
      </w:pPr>
    </w:p>
    <w:p>
      <w:pPr>
        <w:ind w:right="12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8-Year Notes Make-Whole Premium</w:t>
      </w:r>
      <w:r>
        <w:rPr>
          <w:rFonts w:ascii="Times New Roman" w:cs="Times New Roman" w:eastAsia="Times New Roman" w:hAnsi="Times New Roman"/>
          <w:sz w:val="18"/>
          <w:szCs w:val="18"/>
          <w:color w:val="auto"/>
        </w:rPr>
        <w:t>” means, with respect to an 8-Year Note at any 8-Year Notes Make-Whole Redemption Date, an amount equal to the greater of (i) 1.0% of the principal amount of such 8-Year Note and (ii) the excess, if any, of (x) the present value of the sum of the principal amount and premium that would be payable on such Note on March 15, 2027 and all remaining interest payments to and including March 15, 2027 (but excluding any interest accrued to such the 8-Year Notes Make-Whole Redemption Date), discounted on a semiannual basis (assuming a</w:t>
      </w:r>
    </w:p>
    <w:p>
      <w:pPr>
        <w:spacing w:after="0" w:line="3"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360-day year consisting of twelve 30-day months) from March 15, 2027 to such 8-Year Notes Make-Whole Redemption Date at a per annum interest rate equal to the 8-Year Notes Applicable Treasury Rate on such 8-Year Notes Make-Whole Redemption Date plus 0.50%, over (y) the outstanding principal amount of such 8-Year Note.</w:t>
      </w:r>
    </w:p>
    <w:p>
      <w:pPr>
        <w:spacing w:after="0" w:line="186"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8-Year Notes Make-Whole Redemption Date</w:t>
      </w:r>
      <w:r>
        <w:rPr>
          <w:rFonts w:ascii="Times New Roman" w:cs="Times New Roman" w:eastAsia="Times New Roman" w:hAnsi="Times New Roman"/>
          <w:sz w:val="18"/>
          <w:szCs w:val="18"/>
          <w:color w:val="auto"/>
        </w:rPr>
        <w:t>” with respect to an 8-Year Notes Make-Whole Redemption, means the date such 8-Year Notes Make-Whole Redemption is effectuated (and not, for the avoidance of doubt, the date of the related notice of redemption).</w:t>
      </w:r>
    </w:p>
    <w:p>
      <w:pPr>
        <w:spacing w:after="0" w:line="162"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Facility</w:t>
      </w:r>
      <w:r>
        <w:rPr>
          <w:rFonts w:ascii="Times New Roman" w:cs="Times New Roman" w:eastAsia="Times New Roman" w:hAnsi="Times New Roman"/>
          <w:sz w:val="18"/>
          <w:szCs w:val="18"/>
          <w:color w:val="auto"/>
        </w:rPr>
        <w:t>” means that certain Fourth Amended and Restated Credit Agreement dated as of June 22, 2020 (as the same may be further amended, restated, amended and restated, modified or supplemented from time to time) among the Issuer, Barclays Bank PLC, as administrative agent, and the other parties from time to time party thereto, together with all related notes, letters of credit, collateral documents, guarantees and any other related agreements and instruments executed and delivered in connection therewith, in each case as amended, restated, amended and restated, modified, refinanced, refunded, renewed or replaced in whole or in part (including by sales of debt securities) from time to time including by or pursuant to any agreement(s) or instrument(s) (including an indenture) extending the maturity of or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1" w:name="page12"/>
    <w:bookmarkEnd w:id="11"/>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refinancing (including increasing the amount of available borrowings thereunder or adding any Subsidiaries of the Parent Guarantor as borrowers or guarantors thereunder) all or any portion of the Indebtedness under such agreement(s) or instrument(s) or any successor or replacement bank credit agreement(s) and whether by the same or any other agent, lender, group of lenders, purchasers, debt holders, creditor or group of creditors.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Assets</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1120" w:hanging="261"/>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property or assets (other than Indebtedness and Capital Stock) to be used by the Parent Guarantor or any of its Subsidiaries;</w:t>
      </w:r>
    </w:p>
    <w:p>
      <w:pPr>
        <w:spacing w:after="0" w:line="117"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11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Stock of a Person that becomes a Subsidiary of the Parent Guarantor as a result of the acquisition of such Capital Stock by the Parent Guarantor or any of its Subsidiaries; or</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Stock constituting a non-controlling interest in any Person that at such time is a Subsidiary of the Parent Guarantor.</w:t>
      </w:r>
    </w:p>
    <w:p>
      <w:pPr>
        <w:spacing w:after="0" w:line="225"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Notes</w:t>
      </w:r>
      <w:r>
        <w:rPr>
          <w:rFonts w:ascii="Times New Roman" w:cs="Times New Roman" w:eastAsia="Times New Roman" w:hAnsi="Times New Roman"/>
          <w:sz w:val="18"/>
          <w:szCs w:val="18"/>
          <w:color w:val="auto"/>
        </w:rPr>
        <w:t>” means additional Notes (other than the Initial Notes) issued under this Indenture in accordance with Section 2.01 hereof, as part of the same series as the Initial Notes.</w:t>
      </w:r>
    </w:p>
    <w:p>
      <w:pPr>
        <w:spacing w:after="0" w:line="16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Obligor</w:t>
      </w:r>
      <w:r>
        <w:rPr>
          <w:rFonts w:ascii="Times New Roman" w:cs="Times New Roman" w:eastAsia="Times New Roman" w:hAnsi="Times New Roman"/>
          <w:sz w:val="18"/>
          <w:szCs w:val="18"/>
          <w:color w:val="auto"/>
        </w:rPr>
        <w:t>” has the meaning set forth in Section 4.14(2).</w:t>
      </w:r>
    </w:p>
    <w:p>
      <w:pPr>
        <w:spacing w:after="0" w:line="225" w:lineRule="exact"/>
        <w:rPr>
          <w:sz w:val="20"/>
          <w:szCs w:val="20"/>
          <w:color w:val="auto"/>
        </w:rPr>
      </w:pPr>
    </w:p>
    <w:p>
      <w:pPr>
        <w:ind w:right="2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purposes of this definition,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with correlative meanings, the terms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under common control with</w:t>
      </w:r>
      <w:r>
        <w:rPr>
          <w:rFonts w:ascii="Times New Roman" w:cs="Times New Roman" w:eastAsia="Times New Roman" w:hAnsi="Times New Roman"/>
          <w:sz w:val="18"/>
          <w:szCs w:val="18"/>
          <w:color w:val="auto"/>
        </w:rPr>
        <w:t>”), as used with respect to any Person, means the possession, directly or indirectly, of the power to direct or cause the direction of the management or policies of such Person, whether through the ownership of voting securities, by agreement or otherwise.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means any Registrar, Paying Agent, Depositary Custodian, or agent for service or notices and demands.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 Members</w:t>
      </w:r>
      <w:r>
        <w:rPr>
          <w:rFonts w:ascii="Times New Roman" w:cs="Times New Roman" w:eastAsia="Times New Roman" w:hAnsi="Times New Roman"/>
          <w:sz w:val="18"/>
          <w:szCs w:val="18"/>
          <w:color w:val="auto"/>
        </w:rPr>
        <w:t>” has the meaning set forth in Section 2.16(a).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w:t>
      </w:r>
      <w:r>
        <w:rPr>
          <w:rFonts w:ascii="Times New Roman" w:cs="Times New Roman" w:eastAsia="Times New Roman" w:hAnsi="Times New Roman"/>
          <w:sz w:val="18"/>
          <w:szCs w:val="18"/>
          <w:color w:val="auto"/>
        </w:rPr>
        <w:t>” means to amend, supplement, restate, amend and restate or otherwise modify; and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shall have a correlative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meaning.</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asset</w:t>
      </w:r>
      <w:r>
        <w:rPr>
          <w:rFonts w:ascii="Times New Roman" w:cs="Times New Roman" w:eastAsia="Times New Roman" w:hAnsi="Times New Roman"/>
          <w:sz w:val="18"/>
          <w:szCs w:val="18"/>
          <w:color w:val="auto"/>
        </w:rPr>
        <w:t>” means any asset or property, whether real, personal or mixed, tangible or intangible.</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Asset Disposition</w:t>
      </w:r>
      <w:r>
        <w:rPr>
          <w:rFonts w:ascii="Times New Roman" w:cs="Times New Roman" w:eastAsia="Times New Roman" w:hAnsi="Times New Roman"/>
          <w:sz w:val="18"/>
          <w:szCs w:val="18"/>
          <w:color w:val="auto"/>
        </w:rPr>
        <w:t>” means any sale, lease, transfer or other disposition (or series of related sales, leases, transfers or dispositions) by the Parent Guarantor or any of its Subsidiaries, including any disposition by means of a merger, consolidation or similar transaction (each referred to for the purposes of this definition as a “</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of:</w:t>
      </w:r>
    </w:p>
    <w:p>
      <w:pPr>
        <w:spacing w:after="0" w:line="68" w:lineRule="exact"/>
        <w:rPr>
          <w:sz w:val="20"/>
          <w:szCs w:val="20"/>
          <w:color w:val="auto"/>
        </w:rPr>
      </w:pPr>
    </w:p>
    <w:p>
      <w:pPr>
        <w:ind w:left="440" w:right="180" w:firstLine="419"/>
        <w:spacing w:after="0" w:line="282" w:lineRule="auto"/>
        <w:tabs>
          <w:tab w:leader="none" w:pos="11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Capital Stock of any of the Parent Guarantor’s Subsidiaries (other than directors’ qualifying shares or shares required by applicable law to be held by a Person other than the Parent Guarantor or a Subsidiary);</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70" w:right="499" w:bottom="1440" w:gutter="0" w:footer="0" w:header="0"/>
        </w:sectPr>
      </w:pPr>
    </w:p>
    <w:bookmarkStart w:id="12" w:name="page13"/>
    <w:bookmarkEnd w:id="12"/>
    <w:p>
      <w:pPr>
        <w:ind w:left="684" w:hanging="261"/>
        <w:spacing w:after="0"/>
        <w:tabs>
          <w:tab w:leader="none" w:pos="68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or substantially all the assets of any division or line of business of the Parent Guarantor or any of its Subsidiaries; or</w:t>
      </w:r>
    </w:p>
    <w:p>
      <w:pPr>
        <w:spacing w:after="0" w:line="117" w:lineRule="exact"/>
        <w:rPr>
          <w:rFonts w:ascii="Times New Roman" w:cs="Times New Roman" w:eastAsia="Times New Roman" w:hAnsi="Times New Roman"/>
          <w:sz w:val="18"/>
          <w:szCs w:val="18"/>
          <w:color w:val="auto"/>
        </w:rPr>
      </w:pPr>
    </w:p>
    <w:p>
      <w:pPr>
        <w:ind w:left="4" w:right="260" w:firstLine="419"/>
        <w:spacing w:after="0" w:line="282" w:lineRule="auto"/>
        <w:tabs>
          <w:tab w:leader="none" w:pos="68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assets or property of the Parent Guarantor or any of its Subsidiaries outside of the ordinary course of business of the Parent Guarantor or such Subsidiary.</w:t>
      </w:r>
    </w:p>
    <w:p>
      <w:pPr>
        <w:spacing w:after="0" w:line="162"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Notwithstanding the foregoing, none of the following shall be deemed to be an Asset Disposition:</w:t>
      </w:r>
    </w:p>
    <w:p>
      <w:pPr>
        <w:spacing w:after="0" w:line="117" w:lineRule="exact"/>
        <w:rPr>
          <w:sz w:val="20"/>
          <w:szCs w:val="20"/>
          <w:color w:val="auto"/>
        </w:rPr>
      </w:pPr>
    </w:p>
    <w:p>
      <w:pPr>
        <w:ind w:left="4" w:firstLine="419"/>
        <w:spacing w:after="0" w:line="282" w:lineRule="auto"/>
        <w:tabs>
          <w:tab w:leader="none" w:pos="68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disposition by a Subsidiary of the Parent Guarantor to the Parent Guarantor or by the Parent Guarantor or any of its Subsidiaries to any Subsidiary of the Parent Guarantor;</w:t>
      </w:r>
    </w:p>
    <w:p>
      <w:pPr>
        <w:spacing w:after="0" w:line="53" w:lineRule="exact"/>
        <w:rPr>
          <w:rFonts w:ascii="Times New Roman" w:cs="Times New Roman" w:eastAsia="Times New Roman" w:hAnsi="Times New Roman"/>
          <w:sz w:val="18"/>
          <w:szCs w:val="18"/>
          <w:color w:val="auto"/>
        </w:rPr>
      </w:pPr>
    </w:p>
    <w:p>
      <w:pPr>
        <w:ind w:left="4" w:right="180" w:firstLine="419"/>
        <w:spacing w:after="0" w:line="282" w:lineRule="auto"/>
        <w:tabs>
          <w:tab w:leader="none" w:pos="68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Section 4.08 only, a disposition of all or substantially all the assets of the Parent Guarantor or the Issuer in compliance with Section 5.01 or a disposition that constitutes a Change of Control pursuant to this Indenture;</w:t>
      </w:r>
    </w:p>
    <w:p>
      <w:pPr>
        <w:spacing w:after="0" w:line="53" w:lineRule="exact"/>
        <w:rPr>
          <w:rFonts w:ascii="Times New Roman" w:cs="Times New Roman" w:eastAsia="Times New Roman" w:hAnsi="Times New Roman"/>
          <w:sz w:val="18"/>
          <w:szCs w:val="18"/>
          <w:color w:val="auto"/>
        </w:rPr>
      </w:pPr>
    </w:p>
    <w:p>
      <w:pPr>
        <w:ind w:left="4" w:right="460" w:firstLine="419"/>
        <w:spacing w:after="0" w:line="282" w:lineRule="auto"/>
        <w:tabs>
          <w:tab w:leader="none" w:pos="68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contribution, conveyance or other transfer of accounts receivable and related assets of the type specified in the definition of Qualified Receivables Transaction by or to a Receivables Entity in a Qualified Receivables Transaction;</w:t>
      </w:r>
    </w:p>
    <w:p>
      <w:pPr>
        <w:spacing w:after="0" w:line="53"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license or sublicense of intellectual property or other intangibles;</w:t>
      </w:r>
    </w:p>
    <w:p>
      <w:pPr>
        <w:spacing w:after="0" w:line="117"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assignment or sublease of any real or personal property in the ordinary course of business;</w:t>
      </w:r>
    </w:p>
    <w:p>
      <w:pPr>
        <w:spacing w:after="0" w:line="117" w:lineRule="exact"/>
        <w:rPr>
          <w:rFonts w:ascii="Times New Roman" w:cs="Times New Roman" w:eastAsia="Times New Roman" w:hAnsi="Times New Roman"/>
          <w:sz w:val="18"/>
          <w:szCs w:val="18"/>
          <w:color w:val="auto"/>
        </w:rPr>
      </w:pPr>
    </w:p>
    <w:p>
      <w:pPr>
        <w:ind w:left="4" w:right="20" w:firstLine="419"/>
        <w:spacing w:after="0" w:line="282" w:lineRule="auto"/>
        <w:tabs>
          <w:tab w:leader="none" w:pos="68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surrender or waiver of contract rights or settlement, release, recovery on or surrender of contract, tort or other claims in the ordinary course of business;</w:t>
      </w:r>
    </w:p>
    <w:p>
      <w:pPr>
        <w:spacing w:after="0" w:line="53"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granting of Security Interests not prohibited by Section 4.10;</w:t>
      </w:r>
    </w:p>
    <w:p>
      <w:pPr>
        <w:spacing w:after="0" w:line="117"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disposition by the Parent Guarantor or any of its Subsidiaries in the ordinary course of business of (i) cash and cash equivalents,</w:t>
      </w:r>
    </w:p>
    <w:p>
      <w:pPr>
        <w:spacing w:after="0" w:line="27" w:lineRule="exact"/>
        <w:rPr>
          <w:rFonts w:ascii="Times New Roman" w:cs="Times New Roman" w:eastAsia="Times New Roman" w:hAnsi="Times New Roman"/>
          <w:sz w:val="18"/>
          <w:szCs w:val="18"/>
          <w:color w:val="auto"/>
        </w:rPr>
      </w:pPr>
    </w:p>
    <w:p>
      <w:pPr>
        <w:ind w:left="4" w:right="100" w:hanging="4"/>
        <w:spacing w:after="0" w:line="265" w:lineRule="auto"/>
        <w:tabs>
          <w:tab w:leader="none" w:pos="268"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inventory and other assets acquired and held for resale in the ordinary course of business, (iii) damaged, worn out or obsolete assets or assets that, in the Parent Guarantor’s reasonable judgment, are no longer used or useful in the business of the Parent Guarantor or its Subsidiaries, or</w:t>
      </w:r>
    </w:p>
    <w:p>
      <w:pPr>
        <w:ind w:left="4" w:hanging="4"/>
        <w:spacing w:after="0" w:line="260" w:lineRule="auto"/>
        <w:tabs>
          <w:tab w:leader="none" w:pos="30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granted to others pursuant to leases or licenses, to the extent not materially interfering with the operations of the Parent Guarantor or its Subsidiaries;</w:t>
      </w:r>
    </w:p>
    <w:p>
      <w:pPr>
        <w:spacing w:after="0" w:line="73"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Restricted Payment that is permitted by this Indenture;</w:t>
      </w:r>
    </w:p>
    <w:p>
      <w:pPr>
        <w:spacing w:after="0" w:line="158" w:lineRule="exact"/>
        <w:rPr>
          <w:sz w:val="20"/>
          <w:szCs w:val="20"/>
          <w:color w:val="auto"/>
        </w:rPr>
      </w:pPr>
    </w:p>
    <w:p>
      <w:pPr>
        <w:jc w:val="center"/>
        <w:ind w:right="356"/>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04"/>
          </w:cols>
          <w:pgMar w:left="876" w:top="270" w:right="519" w:bottom="1440" w:gutter="0" w:footer="0" w:header="0"/>
        </w:sectPr>
      </w:pPr>
    </w:p>
    <w:bookmarkStart w:id="13" w:name="page14"/>
    <w:bookmarkEnd w:id="13"/>
    <w:p>
      <w:pPr>
        <w:ind w:firstLine="419"/>
        <w:spacing w:after="0" w:line="256" w:lineRule="auto"/>
        <w:tabs>
          <w:tab w:leader="none" w:pos="7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exchange of assets for assets (including a combination of assets) (which assets may include Equity Interests or any securities convertible into, or exercisable or exchangeable for, Equity Interests, but which assets may not include any Indebtedness) of comparable or greater market value or usefulness to the business of the Parent Guarantor and its Subsidiaries, taken as a whole, which in the event of an exchange of assets with a fair market value in excess of (a) $50.0 million shall be evidenced by an Officer’s Certificate and (b) $100.0 million shall be set forth in a resolution approved by at least a majority of the members of the Board of Directors of the Parent Guarantor;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Parent Guarantor shall apply any cash or cash equivalents received in any such exchange of assets as described in Section 4.08(a);</w:t>
      </w:r>
    </w:p>
    <w:p>
      <w:pPr>
        <w:spacing w:after="0" w:line="79" w:lineRule="exact"/>
        <w:rPr>
          <w:rFonts w:ascii="Times New Roman" w:cs="Times New Roman" w:eastAsia="Times New Roman" w:hAnsi="Times New Roman"/>
          <w:sz w:val="18"/>
          <w:szCs w:val="18"/>
          <w:color w:val="auto"/>
        </w:rPr>
      </w:pPr>
    </w:p>
    <w:p>
      <w:pPr>
        <w:ind w:right="120" w:firstLine="419"/>
        <w:spacing w:after="0" w:line="282" w:lineRule="auto"/>
        <w:tabs>
          <w:tab w:leader="none" w:pos="76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receivables in connection with the compromise, settlement or collection thereof in the ordinary course of business or in bankruptcy or similar proceedings and exclusive of factoring or similar arrangements;</w:t>
      </w:r>
    </w:p>
    <w:p>
      <w:pPr>
        <w:spacing w:after="0" w:line="53"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any Subsidiary of the Parent Guarantor of Preferred Stock or any convertible securities;</w:t>
      </w:r>
    </w:p>
    <w:p>
      <w:pPr>
        <w:spacing w:after="0" w:line="117"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of Capital Stock or Indebtedness or other securities of a Foreign Subsidiary;</w:t>
      </w:r>
    </w:p>
    <w:p>
      <w:pPr>
        <w:spacing w:after="0" w:line="117"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of assets received by the Parent Guarantor or any of its Subsidiaries upon foreclosure on a Security Interest;</w:t>
      </w:r>
    </w:p>
    <w:p>
      <w:pPr>
        <w:spacing w:after="0" w:line="117"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unwinding of any Hedging Obligations (including sales under forward contracts);</w:t>
      </w:r>
    </w:p>
    <w:p>
      <w:pPr>
        <w:spacing w:after="0" w:line="117" w:lineRule="exact"/>
        <w:rPr>
          <w:rFonts w:ascii="Times New Roman" w:cs="Times New Roman" w:eastAsia="Times New Roman" w:hAnsi="Times New Roman"/>
          <w:sz w:val="18"/>
          <w:szCs w:val="18"/>
          <w:color w:val="auto"/>
        </w:rPr>
      </w:pPr>
    </w:p>
    <w:p>
      <w:pPr>
        <w:ind w:right="260" w:firstLine="419"/>
        <w:spacing w:after="0" w:line="282" w:lineRule="auto"/>
        <w:tabs>
          <w:tab w:leader="none" w:pos="7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dispositions to the extent required by, or made pursuant to customary buy/sell arrangements between the joint venture parties set forth in joint venture arrangements and similar binding agreements;</w:t>
      </w:r>
    </w:p>
    <w:p>
      <w:pPr>
        <w:spacing w:after="0" w:line="53"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or sublease of office space;</w:t>
      </w:r>
    </w:p>
    <w:p>
      <w:pPr>
        <w:spacing w:after="0" w:line="117" w:lineRule="exact"/>
        <w:rPr>
          <w:rFonts w:ascii="Times New Roman" w:cs="Times New Roman" w:eastAsia="Times New Roman" w:hAnsi="Times New Roman"/>
          <w:sz w:val="18"/>
          <w:szCs w:val="18"/>
          <w:color w:val="auto"/>
        </w:rPr>
      </w:pPr>
    </w:p>
    <w:p>
      <w:pPr>
        <w:ind w:right="160" w:firstLine="419"/>
        <w:spacing w:after="0" w:line="282" w:lineRule="auto"/>
        <w:tabs>
          <w:tab w:leader="none" w:pos="7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abandonment, farm-out, lease, assignment, sub-lease, license or sub-license of any real or personal property in the ordinary course of business;</w:t>
      </w:r>
    </w:p>
    <w:p>
      <w:pPr>
        <w:spacing w:after="0" w:line="53"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property pursuant to casualty events;</w:t>
      </w:r>
    </w:p>
    <w:p>
      <w:pPr>
        <w:spacing w:after="0" w:line="117"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property pursuant to a Sale and Leaseback Transaction permitted by this Indenture;</w:t>
      </w:r>
    </w:p>
    <w:p>
      <w:pPr>
        <w:spacing w:after="0" w:line="117"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foreclosures on assets to the extent they would not otherwise result in a Default or Event of Default; or</w:t>
      </w:r>
    </w:p>
    <w:p>
      <w:pPr>
        <w:spacing w:after="0" w:line="117" w:lineRule="exact"/>
        <w:rPr>
          <w:rFonts w:ascii="Times New Roman" w:cs="Times New Roman" w:eastAsia="Times New Roman" w:hAnsi="Times New Roman"/>
          <w:sz w:val="18"/>
          <w:szCs w:val="18"/>
          <w:color w:val="auto"/>
        </w:rPr>
      </w:pPr>
    </w:p>
    <w:p>
      <w:pPr>
        <w:ind w:right="20" w:firstLine="419"/>
        <w:spacing w:after="0" w:line="282" w:lineRule="auto"/>
        <w:tabs>
          <w:tab w:leader="none" w:pos="7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single transaction or series of related transactions that involve the disposition of assets with a fair market value of less than the greater of (x) $50.0 million and (y) 1.0% of Consolidated Total Assets.</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60"/>
          </w:cols>
          <w:pgMar w:left="880" w:top="270" w:right="459" w:bottom="1440" w:gutter="0" w:footer="0" w:header="0"/>
        </w:sectPr>
      </w:pPr>
    </w:p>
    <w:bookmarkStart w:id="14" w:name="page15"/>
    <w:bookmarkEnd w:id="14"/>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Attributable Indebtedness</w:t>
      </w:r>
      <w:r>
        <w:rPr>
          <w:rFonts w:ascii="Times New Roman" w:cs="Times New Roman" w:eastAsia="Times New Roman" w:hAnsi="Times New Roman"/>
          <w:sz w:val="18"/>
          <w:szCs w:val="18"/>
          <w:color w:val="auto"/>
        </w:rPr>
        <w:t>,” when used with respect to any Sale and Leaseback Transaction, means, as at the time of determination, the present value (discounted at a rate borne by the Notes, compounded on a semiannual basis) of the total obligations of the lessee for rental payments during the remaining term of the lease included in any such Sale and Leaseback Transaction.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Bankruptcy Law</w:t>
      </w:r>
      <w:r>
        <w:rPr>
          <w:rFonts w:ascii="Times New Roman" w:cs="Times New Roman" w:eastAsia="Times New Roman" w:hAnsi="Times New Roman"/>
          <w:sz w:val="17"/>
          <w:szCs w:val="17"/>
          <w:color w:val="auto"/>
        </w:rPr>
        <w:t>” means Title 11 of the United States Code, as amended, or any similar federal, state, local or foreign law for the relief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debtors.</w:t>
      </w:r>
    </w:p>
    <w:p>
      <w:pPr>
        <w:spacing w:after="0" w:line="207"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with respect to any Person, the board of directors or comparable governing body of such Person or, other than in connection with the definition of “Change of Control,” any duly authorized committee thereof.</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has the meaning set forth in Section 11.06.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1120" w:hanging="261"/>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corporation, corporate stock;</w:t>
      </w:r>
    </w:p>
    <w:p>
      <w:pPr>
        <w:spacing w:after="0" w:line="117" w:lineRule="exact"/>
        <w:rPr>
          <w:rFonts w:ascii="Times New Roman" w:cs="Times New Roman" w:eastAsia="Times New Roman" w:hAnsi="Times New Roman"/>
          <w:sz w:val="18"/>
          <w:szCs w:val="18"/>
          <w:color w:val="auto"/>
        </w:rPr>
      </w:pPr>
    </w:p>
    <w:p>
      <w:pPr>
        <w:ind w:left="440" w:right="720" w:firstLine="419"/>
        <w:spacing w:after="0" w:line="282" w:lineRule="auto"/>
        <w:tabs>
          <w:tab w:leader="none" w:pos="111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association or business entity, any and all shares, interests, participations, rights or other equivalents (however designated) of corporate stock;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partnership or limited liability company, partnership or membership interests (whether general or limited).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Capitalized Lease</w:t>
      </w:r>
      <w:r>
        <w:rPr>
          <w:rFonts w:ascii="Times New Roman" w:cs="Times New Roman" w:eastAsia="Times New Roman" w:hAnsi="Times New Roman"/>
          <w:sz w:val="18"/>
          <w:szCs w:val="18"/>
          <w:color w:val="auto"/>
        </w:rPr>
        <w:t>” means a lease required to be capitalized for financial reporting purposes in accordance with GAAP.</w:t>
      </w:r>
    </w:p>
    <w:p>
      <w:pPr>
        <w:spacing w:after="0" w:line="225"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Capitalized Lease Obligations</w:t>
      </w:r>
      <w:r>
        <w:rPr>
          <w:rFonts w:ascii="Times New Roman" w:cs="Times New Roman" w:eastAsia="Times New Roman" w:hAnsi="Times New Roman"/>
          <w:sz w:val="18"/>
          <w:szCs w:val="18"/>
          <w:color w:val="auto"/>
        </w:rPr>
        <w:t>” of any Person means the obligations of such Person to pay rent or other amounts under a Capitalized Lease, and the amount of such obligation shall be the capitalized amount thereof determined in accordance with GAAP.</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Consideration</w:t>
      </w:r>
      <w:r>
        <w:rPr>
          <w:rFonts w:ascii="Times New Roman" w:cs="Times New Roman" w:eastAsia="Times New Roman" w:hAnsi="Times New Roman"/>
          <w:sz w:val="18"/>
          <w:szCs w:val="18"/>
          <w:color w:val="auto"/>
        </w:rPr>
        <w:t>” has the meaning set forth in Section 4.08(a)(2).</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CFC Subsidiary</w:t>
      </w:r>
      <w:r>
        <w:rPr>
          <w:rFonts w:ascii="Times New Roman" w:cs="Times New Roman" w:eastAsia="Times New Roman" w:hAnsi="Times New Roman"/>
          <w:sz w:val="18"/>
          <w:szCs w:val="18"/>
          <w:color w:val="auto"/>
        </w:rPr>
        <w:t>” means any Subsidiary that constitutes a controlled foreign corporation within the meaning of Section 957 of the Code.</w:t>
      </w:r>
    </w:p>
    <w:p>
      <w:pPr>
        <w:spacing w:after="0" w:line="225"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CFC Subsidiary Holding Company</w:t>
      </w:r>
      <w:r>
        <w:rPr>
          <w:rFonts w:ascii="Times New Roman" w:cs="Times New Roman" w:eastAsia="Times New Roman" w:hAnsi="Times New Roman"/>
          <w:sz w:val="18"/>
          <w:szCs w:val="18"/>
          <w:color w:val="auto"/>
        </w:rPr>
        <w:t>” means any Subsidiary (a) that is engaged in no material business activities other than the holding of Equity Interests and other investments in one or more CFC Subsidiaries or other CFC Subsidiary Holding Companies or (b) that owns Equity Interests or other investments in one or more CFC Subsidiaries or other CFC Subsidiary Holding Companies and is disregarded for U.S. federal income tax purposes.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15" w:name="page16"/>
    <w:bookmarkEnd w:id="15"/>
    <w:p>
      <w:pPr>
        <w:ind w:left="5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the occurrence of any of the following:</w:t>
      </w:r>
    </w:p>
    <w:p>
      <w:pPr>
        <w:spacing w:after="0" w:line="117" w:lineRule="exact"/>
        <w:rPr>
          <w:sz w:val="20"/>
          <w:szCs w:val="20"/>
          <w:color w:val="auto"/>
        </w:rPr>
      </w:pPr>
    </w:p>
    <w:p>
      <w:pPr>
        <w:ind w:right="200" w:firstLine="419"/>
        <w:spacing w:after="0" w:line="266" w:lineRule="auto"/>
        <w:tabs>
          <w:tab w:leader="none" w:pos="67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(other than by way of merger or consolidation) of all or substantially all of the assets of the Parent Guarantor and its Subsidiaries taken as a whole to any “person” (as defined in Section 13(d) of the Exchange Act) or “group” (as defined in Sections 13(d)(3) and 14(d)(2) of the Exchange Act), other than any Transfer to the Parent Guarantor or one or more Subsidiaries of the Parent Guarantor;</w:t>
      </w:r>
    </w:p>
    <w:p>
      <w:pPr>
        <w:spacing w:after="0" w:line="6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adoption of a plan for the liquidation or dissolution the Parent Guarantor (other than in a transaction that complies with Section 5.01);</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or</w:t>
      </w:r>
    </w:p>
    <w:p>
      <w:pPr>
        <w:spacing w:after="0" w:line="98" w:lineRule="exact"/>
        <w:rPr>
          <w:rFonts w:ascii="Times New Roman" w:cs="Times New Roman" w:eastAsia="Times New Roman" w:hAnsi="Times New Roman"/>
          <w:sz w:val="17"/>
          <w:szCs w:val="17"/>
          <w:color w:val="auto"/>
        </w:rPr>
      </w:pPr>
    </w:p>
    <w:p>
      <w:pPr>
        <w:ind w:firstLine="419"/>
        <w:spacing w:after="0" w:line="255" w:lineRule="auto"/>
        <w:tabs>
          <w:tab w:leader="none" w:pos="67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(as defined above) or “group” (as defined above) becomes, directly or indirectly, the “beneficial owner” (as defined in Rules 13d-3 and 13d-5 under the Exchange Act) of more than 50% of the voting power of the Voting Stock of the Parent Guarantor, other than as a result of (i) any transaction where the voting power of the Voting Stock of the Parent Guarantor immediately prior to such transaction constitutes or is converted into or exchanged for a majority of the voting power of the Voting Stock of such beneficial owner or (ii) any merger or consolidation of the Parent Guarantor with or into any “person” (as defined above) (a “</w:t>
      </w:r>
      <w:r>
        <w:rPr>
          <w:rFonts w:ascii="Times New Roman" w:cs="Times New Roman" w:eastAsia="Times New Roman" w:hAnsi="Times New Roman"/>
          <w:sz w:val="18"/>
          <w:szCs w:val="18"/>
          <w:u w:val="single" w:color="auto"/>
          <w:color w:val="auto"/>
        </w:rPr>
        <w:t>Permitted Person</w:t>
      </w:r>
      <w:r>
        <w:rPr>
          <w:rFonts w:ascii="Times New Roman" w:cs="Times New Roman" w:eastAsia="Times New Roman" w:hAnsi="Times New Roman"/>
          <w:sz w:val="18"/>
          <w:szCs w:val="18"/>
          <w:color w:val="auto"/>
        </w:rPr>
        <w:t>”) or a subsidiary of a Permitted Person, in each case, if immediately after such transaction no person (as defined above) is the beneficial owner (as defined above), directly or indirectly, of more than 50% of the voting power of the Voting Stock of such Permitted Person.</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Offer</w:t>
      </w:r>
      <w:r>
        <w:rPr>
          <w:rFonts w:ascii="Times New Roman" w:cs="Times New Roman" w:eastAsia="Times New Roman" w:hAnsi="Times New Roman"/>
          <w:sz w:val="18"/>
          <w:szCs w:val="18"/>
          <w:color w:val="auto"/>
        </w:rPr>
        <w:t>” has the meaning set forth in Section 4.07(a).</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Payment</w:t>
      </w:r>
      <w:r>
        <w:rPr>
          <w:rFonts w:ascii="Times New Roman" w:cs="Times New Roman" w:eastAsia="Times New Roman" w:hAnsi="Times New Roman"/>
          <w:sz w:val="18"/>
          <w:szCs w:val="18"/>
          <w:color w:val="auto"/>
        </w:rPr>
        <w:t>” has the meaning set forth in Section 4.07(a).</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Payment Date</w:t>
      </w:r>
      <w:r>
        <w:rPr>
          <w:rFonts w:ascii="Times New Roman" w:cs="Times New Roman" w:eastAsia="Times New Roman" w:hAnsi="Times New Roman"/>
          <w:sz w:val="18"/>
          <w:szCs w:val="18"/>
          <w:color w:val="auto"/>
        </w:rPr>
        <w:t>” has the meaning set forth in Section 4.07(a).</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Cash Flow Available for Fixed Charges</w:t>
      </w:r>
      <w:r>
        <w:rPr>
          <w:rFonts w:ascii="Times New Roman" w:cs="Times New Roman" w:eastAsia="Times New Roman" w:hAnsi="Times New Roman"/>
          <w:sz w:val="18"/>
          <w:szCs w:val="18"/>
          <w:color w:val="auto"/>
        </w:rPr>
        <w:t>” means, with respect to any Person for any period:</w:t>
      </w:r>
    </w:p>
    <w:p>
      <w:pPr>
        <w:spacing w:after="0" w:line="117" w:lineRule="exact"/>
        <w:rPr>
          <w:sz w:val="20"/>
          <w:szCs w:val="20"/>
          <w:color w:val="auto"/>
        </w:rPr>
      </w:pPr>
    </w:p>
    <w:p>
      <w:pPr>
        <w:ind w:left="1200" w:hanging="252"/>
        <w:spacing w:after="0"/>
        <w:tabs>
          <w:tab w:leader="none" w:pos="1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without duplication, the amounts for such period, taken as a single accounting period, of:</w:t>
      </w:r>
    </w:p>
    <w:p>
      <w:pPr>
        <w:spacing w:after="0" w:line="117" w:lineRule="exact"/>
        <w:rPr>
          <w:rFonts w:ascii="Times New Roman" w:cs="Times New Roman" w:eastAsia="Times New Roman" w:hAnsi="Times New Roman"/>
          <w:sz w:val="18"/>
          <w:szCs w:val="18"/>
          <w:color w:val="auto"/>
        </w:rPr>
      </w:pPr>
    </w:p>
    <w:p>
      <w:pPr>
        <w:ind w:left="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Consolidated Net Income;</w:t>
      </w:r>
    </w:p>
    <w:p>
      <w:pPr>
        <w:spacing w:after="0" w:line="117" w:lineRule="exact"/>
        <w:rPr>
          <w:rFonts w:ascii="Times New Roman" w:cs="Times New Roman" w:eastAsia="Times New Roman" w:hAnsi="Times New Roman"/>
          <w:sz w:val="18"/>
          <w:szCs w:val="18"/>
          <w:color w:val="auto"/>
        </w:rPr>
      </w:pPr>
    </w:p>
    <w:p>
      <w:pPr>
        <w:ind w:left="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Consolidated Non-cash Charges;</w:t>
      </w:r>
    </w:p>
    <w:p>
      <w:pPr>
        <w:spacing w:after="0" w:line="117" w:lineRule="exact"/>
        <w:rPr>
          <w:rFonts w:ascii="Times New Roman" w:cs="Times New Roman" w:eastAsia="Times New Roman" w:hAnsi="Times New Roman"/>
          <w:sz w:val="18"/>
          <w:szCs w:val="18"/>
          <w:color w:val="auto"/>
        </w:rPr>
      </w:pPr>
    </w:p>
    <w:p>
      <w:pPr>
        <w:ind w:left="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Consolidated Interest Expense to the extent the same was deducted in computing Consolidated Net Income;</w:t>
      </w:r>
    </w:p>
    <w:p>
      <w:pPr>
        <w:spacing w:after="0" w:line="1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880" w:top="270" w:right="459" w:bottom="1440" w:gutter="0" w:footer="0" w:header="0"/>
        </w:sectPr>
      </w:pPr>
    </w:p>
    <w:bookmarkStart w:id="16" w:name="page17"/>
    <w:bookmarkEnd w:id="16"/>
    <w:p>
      <w:pPr>
        <w:ind w:left="980" w:right="40" w:firstLine="408"/>
        <w:spacing w:after="0" w:line="282" w:lineRule="auto"/>
        <w:tabs>
          <w:tab w:leader="none" w:pos="16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Consolidated Income Tax Expense (other than income tax expense (either positive or negative) attributable to extraordinary gains or losses);</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expenses or charges related to any Equity Offering, any recapitalization or incurrence of Indebtedness or this offering of the</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w:t>
      </w:r>
    </w:p>
    <w:p>
      <w:pPr>
        <w:spacing w:after="0" w:line="98" w:lineRule="exact"/>
        <w:rPr>
          <w:rFonts w:ascii="Times New Roman" w:cs="Times New Roman" w:eastAsia="Times New Roman" w:hAnsi="Times New Roman"/>
          <w:sz w:val="18"/>
          <w:szCs w:val="18"/>
          <w:color w:val="auto"/>
        </w:rPr>
      </w:pPr>
    </w:p>
    <w:p>
      <w:pPr>
        <w:ind w:left="980" w:right="140" w:firstLine="408"/>
        <w:spacing w:after="0" w:line="282" w:lineRule="auto"/>
        <w:tabs>
          <w:tab w:leader="none" w:pos="160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interest expense attributable to minority equity interests of third parties in any non-Wholly Owned Subsidiary of the Parent Guarantor to the extent the same was deducted in computing Consolidated Net Income; and</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loss from discontinued operations; less</w:t>
      </w:r>
    </w:p>
    <w:p>
      <w:pPr>
        <w:spacing w:after="0" w:line="117" w:lineRule="exact"/>
        <w:rPr>
          <w:sz w:val="20"/>
          <w:szCs w:val="20"/>
          <w:color w:val="auto"/>
        </w:rPr>
      </w:pPr>
    </w:p>
    <w:p>
      <w:pPr>
        <w:ind w:left="980" w:right="200" w:firstLine="408"/>
        <w:spacing w:after="0" w:line="266" w:lineRule="auto"/>
        <w:tabs>
          <w:tab w:leader="none" w:pos="16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net income from discontinued operations and (y) non-cash items increasing Consolidated Net Income for such period, other than (a) the accrual of revenue consistent with past practice and (b) reversals of prior accruals or reserves for cash items previously excluded in the calculation of Consolidated Non-cash Charges.</w:t>
      </w:r>
    </w:p>
    <w:p>
      <w:pPr>
        <w:spacing w:after="0" w:line="176"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In calculating “Consolidated Cash Flow Available for Fixed Charges” and “Consolidated Total Assets” for any period, if any Asset Disposition or Asset Acquisition (whether pursuant to a stock or an asset transaction) shall have occurred since the first day of any 12-month period for which the “Consolidated Cash Flow Available for Fixed Charges” is being calculated, such calculation shall give pro forma effect to such Asset Disposition or Asset Acquisition including, for the avoidance of doubt, any Indebtedness incurred or repaid in connection with such Asset Disposition or Asset Acquisition.</w:t>
      </w:r>
    </w:p>
    <w:p>
      <w:pPr>
        <w:spacing w:after="0" w:line="183"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For the purposes of calculating “Consolidated Cash Flow Available for Fixed Charges,” “Asset Acquisition” means any acquisition of property or series of related acquisitions of property that constitutes all or substantially all of the assets of a business, unit or division of a Person or constitutes all or substantially all of the common stock (or equivalent) of a Person; and “Asset Disposition” means any disposition of property or series of related dispositions of property that involves all or substantially all of the assets of a business, unit or division of a Person or constitutes all or substantially all of the common stock (or equivalent) of a Person.</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Fixed Charge Coverage Ratio</w:t>
      </w:r>
      <w:r>
        <w:rPr>
          <w:rFonts w:ascii="Times New Roman" w:cs="Times New Roman" w:eastAsia="Times New Roman" w:hAnsi="Times New Roman"/>
          <w:sz w:val="18"/>
          <w:szCs w:val="18"/>
          <w:color w:val="auto"/>
        </w:rPr>
        <w:t>” means the ratio of Consolidated Cash Flow Available for Fixed Charges of the Parent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Guarantor and its Subsidiaries during the most recent four consecutive full fiscal quarters for which financial statements are available (the “</w:t>
      </w:r>
      <w:r>
        <w:rPr>
          <w:rFonts w:ascii="Times New Roman" w:cs="Times New Roman" w:eastAsia="Times New Roman" w:hAnsi="Times New Roman"/>
          <w:sz w:val="17"/>
          <w:szCs w:val="17"/>
          <w:u w:val="single" w:color="auto"/>
          <w:color w:val="auto"/>
        </w:rPr>
        <w:t>Four-Quarter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ending on or prior to the date of the transaction giving rise to the need to calculate the Consolidated Fixed Charge Coverage Ratio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Date</w:t>
      </w:r>
      <w:r>
        <w:rPr>
          <w:rFonts w:ascii="Times New Roman" w:cs="Times New Roman" w:eastAsia="Times New Roman" w:hAnsi="Times New Roman"/>
          <w:sz w:val="18"/>
          <w:szCs w:val="18"/>
          <w:color w:val="auto"/>
        </w:rPr>
        <w:t>”) to Consolidated Fixed Charges of the Parent Guarantor and its Subsidiaries for the Four-Quarter Period. Notwithstanding anything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contrary set forth in the definitions of Consolidated Cash Flow Available for Fixed Charges and Consolidated Interest Expense (and all component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definitions referenced in such definitions), whenever pro forma effect is to be given to the incurrence or repayment of Indebtedness or the issuance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of Preferred Stock, the pro forma calculations shall be determined in good faith by a responsible officer of the Parent Guarantor.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7" w:name="page18"/>
    <w:bookmarkEnd w:id="17"/>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this definition, Consolidated Cash Flow Available for Fixed Charges and Consolidated Fixed Charges shall be calculated after giving effect on a pro forma basis for the period of such calculation to the incurrence of any Indebtedness or the issuance of any Preferred Stock of the Parent Guarantor or any Subsidiary (and the application of the proceeds thereof) and any repayment of Indebtedness or redemption of other Preferred Stock (and the application of the proceeds therefrom) (other than the incurrence or repayment of Indebtedness in the ordinary course of business for working capital purposes pursuant to any revolving credit arrangement) occurring during the Four-Quarter Period or at any time subsequent to the last day of the Four-Quarter Period and on or prior to the Transaction Date, as if such incurrence, repayment, issuance or redemption, as the case may be (and the application of the proceeds thereof), occurred on the first day of the Four-Quarter Period.</w:t>
      </w:r>
    </w:p>
    <w:p>
      <w:pPr>
        <w:spacing w:after="0" w:line="189"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In calculating Consolidated Fixed Charges for purposes of determining the denominator (but not the numerator) of this Consolidated Fixed Charge Coverage Ratio:</w:t>
      </w:r>
    </w:p>
    <w:p>
      <w:pPr>
        <w:spacing w:after="0" w:line="54" w:lineRule="exact"/>
        <w:rPr>
          <w:sz w:val="20"/>
          <w:szCs w:val="20"/>
          <w:color w:val="auto"/>
        </w:rPr>
      </w:pPr>
    </w:p>
    <w:p>
      <w:pPr>
        <w:ind w:left="440" w:right="100" w:firstLine="419"/>
        <w:spacing w:after="0" w:line="261" w:lineRule="auto"/>
        <w:tabs>
          <w:tab w:leader="none" w:pos="110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outstanding Indebtedness determined on a fluctuating basis as of the Transaction Date and which will continue to be so determined thereafter shall be deemed to have accrued at a fixed rate per annum equal to the rate of interest on such Indebtedness in effect on the Transaction Date (although interest with respect to any Indebtedness for periods while the same was actually outstanding during the respective period shall be calculated using the actual rates applicable thereto while the same was actually outstanding);</w:t>
      </w:r>
    </w:p>
    <w:p>
      <w:pPr>
        <w:spacing w:after="0" w:line="71" w:lineRule="exact"/>
        <w:rPr>
          <w:rFonts w:ascii="Times New Roman" w:cs="Times New Roman" w:eastAsia="Times New Roman" w:hAnsi="Times New Roman"/>
          <w:sz w:val="18"/>
          <w:szCs w:val="18"/>
          <w:color w:val="auto"/>
        </w:rPr>
      </w:pPr>
    </w:p>
    <w:p>
      <w:pPr>
        <w:ind w:left="440" w:firstLine="419"/>
        <w:spacing w:after="0" w:line="258" w:lineRule="auto"/>
        <w:tabs>
          <w:tab w:leader="none" w:pos="111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interest on any Indebtedness actually incurred on the Transaction Date may optionally be determined at an interest rate based upon a factor of a prime or similar rate, a eurocurrency interbank offered rate, or other rates, then the interest rate in effect on the Transaction Date will be deemed to have been in effect during the Four-Quarter Period (although interest with respect to any Indebtedness for periods while the same was actually outstanding during the respective period shall be calculated using the actual rates applicable thereto while the same was actually outstanding); and</w:t>
      </w:r>
    </w:p>
    <w:p>
      <w:pPr>
        <w:spacing w:after="0" w:line="75"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10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clause (a) or (b) above, interest on Indebtedness determined on a fluctuating basis, to the extent such interest is covered by agreements relating to Hedging Obligations, shall be deemed to accrue at the rate per annum resulting after giving effect to the operation of these agreements.</w:t>
      </w:r>
    </w:p>
    <w:p>
      <w:pPr>
        <w:spacing w:after="0" w:line="176"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Fixed Charges</w:t>
      </w:r>
      <w:r>
        <w:rPr>
          <w:rFonts w:ascii="Times New Roman" w:cs="Times New Roman" w:eastAsia="Times New Roman" w:hAnsi="Times New Roman"/>
          <w:sz w:val="18"/>
          <w:szCs w:val="18"/>
          <w:color w:val="auto"/>
        </w:rPr>
        <w:t>” for any period means the sum, without duplication, of (a) Consolidated Interest Expense of the Parent Guarantor and the Subsidiaries for such period, plus (b) the product of (a) all dividend payments on any series of Disqualified Equity Interests of the Parent Guarantor or any Subsidiary or any Preferred Stock of any Subsidiary (other than any such Disqualified Equity Interests or any Preferred Stock held by the Parent Guarantor or a Subsidiary or to the extent paid in Qualified Equity Interests) for such period, multiplied by (b) a fraction, the numerator of which is one and the denominator of which is one minus the then current combined federal, state and local statutory tax rate of the Parent Guarantor and the Subsidiaries, expressed as a decimal.</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18" w:name="page19"/>
    <w:bookmarkEnd w:id="18"/>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Consolidated Income Tax Expense</w:t>
      </w:r>
      <w:r>
        <w:rPr>
          <w:rFonts w:ascii="Times New Roman" w:cs="Times New Roman" w:eastAsia="Times New Roman" w:hAnsi="Times New Roman"/>
          <w:sz w:val="18"/>
          <w:szCs w:val="18"/>
          <w:color w:val="auto"/>
        </w:rPr>
        <w:t>” means, with respect to any Person for any period the provision for federal, state, local and foreign income taxes of such Person and its subsidiaries for such period as determined on a consolidated basis in accordance with GAAP.</w:t>
      </w:r>
    </w:p>
    <w:p>
      <w:pPr>
        <w:spacing w:after="0" w:line="162"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Interest Expense</w:t>
      </w:r>
      <w:r>
        <w:rPr>
          <w:rFonts w:ascii="Times New Roman" w:cs="Times New Roman" w:eastAsia="Times New Roman" w:hAnsi="Times New Roman"/>
          <w:sz w:val="18"/>
          <w:szCs w:val="18"/>
          <w:color w:val="auto"/>
        </w:rPr>
        <w:t>” means, with respect to any Person for any period, the interest expense of such Person and its subsidiaries for such period, on a consolidated basis, determined in accordance with GAAP (including amortization of original issue discount and deferred financing costs, non-cash interest payments, the interest component of all payments associated with Capitalized Lease Obligations, capitalized interest, net payments, if any, pursuant to interest rate-related Hedging Obligations and imputed interest with respect to Attributable Indebtedness but excluding write-offs associated with the amendment and restatement or repayment of indebtedness).</w:t>
      </w:r>
    </w:p>
    <w:p>
      <w:pPr>
        <w:spacing w:after="0" w:line="183"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means, with respect to any Person, for any period, the consolidated net income (or loss) of such Person and its subsidiaries for such period as determined in accordance with GAAP, adjusted, to the extent included in calculating such net income, by excluding, without duplication:</w:t>
      </w:r>
    </w:p>
    <w:p>
      <w:pPr>
        <w:spacing w:after="0" w:line="68" w:lineRule="exact"/>
        <w:rPr>
          <w:sz w:val="20"/>
          <w:szCs w:val="20"/>
          <w:color w:val="auto"/>
        </w:rPr>
      </w:pPr>
    </w:p>
    <w:p>
      <w:pPr>
        <w:ind w:left="1120" w:hanging="261"/>
        <w:spacing w:after="0"/>
        <w:tabs>
          <w:tab w:leader="none" w:pos="11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extraordinary gains or losses (net of fees and expenses relating to the transaction giving rise thereto), income, expenses or charges;</w:t>
      </w:r>
    </w:p>
    <w:p>
      <w:pPr>
        <w:spacing w:after="0" w:line="117"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 of net income of such Person and its subsidiaries allocable to minority interests in unconsolidated Persons to the extent that cash dividends or distributions have not actually been received by such Person or one of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Consolidated Net Income shall be increased in amounts equal to the amounts of cash actually received;</w:t>
      </w:r>
    </w:p>
    <w:p>
      <w:pPr>
        <w:spacing w:after="0" w:line="67" w:lineRule="exact"/>
        <w:rPr>
          <w:rFonts w:ascii="Times New Roman" w:cs="Times New Roman" w:eastAsia="Times New Roman" w:hAnsi="Times New Roman"/>
          <w:sz w:val="18"/>
          <w:szCs w:val="18"/>
          <w:color w:val="auto"/>
        </w:rPr>
      </w:pPr>
    </w:p>
    <w:p>
      <w:pPr>
        <w:ind w:left="440" w:right="360" w:firstLine="419"/>
        <w:spacing w:after="0" w:line="282" w:lineRule="auto"/>
        <w:tabs>
          <w:tab w:leader="none" w:pos="111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or losses in respect of any sales of Capital Stock or asset sales outside the ordinary course of business (including in a Sale and Leaseback Transaction) by such Person or one of its subsidiaries (net of fees and expenses relating to the transaction giving rise thereto);</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or loss realized as a result of the cumulative effect of a change in accounting principles;</w:t>
      </w:r>
    </w:p>
    <w:p>
      <w:pPr>
        <w:spacing w:after="0" w:line="117" w:lineRule="exact"/>
        <w:rPr>
          <w:rFonts w:ascii="Times New Roman" w:cs="Times New Roman" w:eastAsia="Times New Roman" w:hAnsi="Times New Roman"/>
          <w:sz w:val="18"/>
          <w:szCs w:val="18"/>
          <w:color w:val="auto"/>
        </w:rPr>
      </w:pPr>
    </w:p>
    <w:p>
      <w:pPr>
        <w:ind w:left="440" w:right="540" w:firstLine="419"/>
        <w:spacing w:after="0" w:line="282" w:lineRule="auto"/>
        <w:tabs>
          <w:tab w:leader="none" w:pos="111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fees, expenses and other costs incurred or paid (and write-offs recorded) in connection with the offering of the Notes and any subsequent exchange offer, the ABL Facility or other Indebtedness;</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or unusual gains or losses;</w:t>
      </w:r>
    </w:p>
    <w:p>
      <w:pPr>
        <w:spacing w:after="0" w:line="117" w:lineRule="exact"/>
        <w:rPr>
          <w:rFonts w:ascii="Times New Roman" w:cs="Times New Roman" w:eastAsia="Times New Roman" w:hAnsi="Times New Roman"/>
          <w:sz w:val="18"/>
          <w:szCs w:val="18"/>
          <w:color w:val="auto"/>
        </w:rPr>
      </w:pPr>
    </w:p>
    <w:p>
      <w:pPr>
        <w:jc w:val="both"/>
        <w:ind w:left="440" w:right="540" w:firstLine="419"/>
        <w:spacing w:after="0" w:line="266" w:lineRule="auto"/>
        <w:tabs>
          <w:tab w:leader="none" w:pos="111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after-tax effects of adjustments in the inventory, property and equipment, goodwill and intangible assets line items in such Person’s consolidated financial statements pursuant to GAAP resulting from the application of purchase accounting or the amortization or write-off of any amounts thereof;</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440" w:top="270" w:right="499" w:bottom="1440" w:gutter="0" w:footer="0" w:header="0"/>
        </w:sectPr>
      </w:pPr>
    </w:p>
    <w:bookmarkStart w:id="19" w:name="page20"/>
    <w:bookmarkEnd w:id="19"/>
    <w:p>
      <w:pPr>
        <w:ind w:left="440" w:right="40" w:firstLine="419"/>
        <w:spacing w:after="0" w:line="261" w:lineRule="auto"/>
        <w:tabs>
          <w:tab w:leader="none" w:pos="111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fees and expenses incurred (and write-offs recorded) during such period, or any amortization thereof for such period, in connection with any acquisition, investment, asset sale, issuance or repayment or amendment or restatement of Indebtedness, issuance of Capital Stock, stock options or other equity-based awards, refinancing transaction or amendment or modification of any debt instrument (including without limitation any such transaction undertaken but not completed);</w:t>
      </w:r>
    </w:p>
    <w:p>
      <w:pPr>
        <w:spacing w:after="0" w:line="7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or loss recorded in connection with the designation of a discontinued operation (exclusive of its operating income or loss);</w:t>
      </w:r>
    </w:p>
    <w:p>
      <w:pPr>
        <w:spacing w:after="0" w:line="117" w:lineRule="exact"/>
        <w:rPr>
          <w:rFonts w:ascii="Times New Roman" w:cs="Times New Roman" w:eastAsia="Times New Roman" w:hAnsi="Times New Roman"/>
          <w:sz w:val="18"/>
          <w:szCs w:val="18"/>
          <w:color w:val="auto"/>
        </w:rPr>
      </w:pPr>
    </w:p>
    <w:p>
      <w:pPr>
        <w:jc w:val="both"/>
        <w:ind w:left="440" w:right="200" w:firstLine="419"/>
        <w:spacing w:after="0" w:line="266" w:lineRule="auto"/>
        <w:tabs>
          <w:tab w:leader="none" w:pos="120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non-cash compensation or other non-cash expenses or charges arising from the grant of or issuance or repricing of Capital Stock, stock options or other equity-based awards or any amendment, modification, substitution or change of any such Capital Stock, stock options or other equity-based awards;</w:t>
      </w:r>
    </w:p>
    <w:p>
      <w:pPr>
        <w:spacing w:after="0" w:line="67" w:lineRule="exact"/>
        <w:rPr>
          <w:rFonts w:ascii="Times New Roman" w:cs="Times New Roman" w:eastAsia="Times New Roman" w:hAnsi="Times New Roman"/>
          <w:sz w:val="18"/>
          <w:szCs w:val="18"/>
          <w:color w:val="auto"/>
        </w:rPr>
      </w:pPr>
    </w:p>
    <w:p>
      <w:pPr>
        <w:ind w:left="440" w:right="420" w:firstLine="419"/>
        <w:spacing w:after="0" w:line="266" w:lineRule="auto"/>
        <w:tabs>
          <w:tab w:leader="none" w:pos="120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expenses or charges related to any Equity Offering, Asset Disposition, merger, amalgamation, consolidation, arrangement, acquisition, disposition, recapitalization or the incurrence of Indebtedness permitted to be incurred by this Indenture (including a refinancing thereof) (whether or not successful);</w:t>
      </w:r>
    </w:p>
    <w:p>
      <w:pPr>
        <w:spacing w:after="0" w:line="67" w:lineRule="exact"/>
        <w:rPr>
          <w:rFonts w:ascii="Times New Roman" w:cs="Times New Roman" w:eastAsia="Times New Roman" w:hAnsi="Times New Roman"/>
          <w:sz w:val="18"/>
          <w:szCs w:val="18"/>
          <w:color w:val="auto"/>
        </w:rPr>
      </w:pPr>
    </w:p>
    <w:p>
      <w:pPr>
        <w:ind w:left="1200" w:hanging="341"/>
        <w:spacing w:after="0"/>
        <w:tabs>
          <w:tab w:leader="none" w:pos="12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gains and losses with respect to Hedging Obligations; and</w:t>
      </w:r>
    </w:p>
    <w:p>
      <w:pPr>
        <w:spacing w:after="0" w:line="117" w:lineRule="exact"/>
        <w:rPr>
          <w:rFonts w:ascii="Times New Roman" w:cs="Times New Roman" w:eastAsia="Times New Roman" w:hAnsi="Times New Roman"/>
          <w:sz w:val="18"/>
          <w:szCs w:val="18"/>
          <w:color w:val="auto"/>
        </w:rPr>
      </w:pPr>
    </w:p>
    <w:p>
      <w:pPr>
        <w:ind w:left="440" w:right="700" w:firstLine="419"/>
        <w:spacing w:after="0" w:line="282" w:lineRule="auto"/>
        <w:tabs>
          <w:tab w:leader="none" w:pos="120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non-cash impairment, restructuring or special charge or asset write-off or write-down, and the amortization or write-off of intangibles.</w:t>
      </w:r>
    </w:p>
    <w:p>
      <w:pPr>
        <w:spacing w:after="0" w:line="162" w:lineRule="exact"/>
        <w:rPr>
          <w:sz w:val="20"/>
          <w:szCs w:val="20"/>
          <w:color w:val="auto"/>
        </w:rPr>
      </w:pPr>
    </w:p>
    <w:p>
      <w:pPr>
        <w:jc w:val="both"/>
        <w:ind w:right="2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Non-cash Charges</w:t>
      </w:r>
      <w:r>
        <w:rPr>
          <w:rFonts w:ascii="Times New Roman" w:cs="Times New Roman" w:eastAsia="Times New Roman" w:hAnsi="Times New Roman"/>
          <w:sz w:val="18"/>
          <w:szCs w:val="18"/>
          <w:color w:val="auto"/>
        </w:rPr>
        <w:t>” means, with respect to any Person for any period, the aggregate depreciation, amortization and other non-cash expenses of the Person and its subsidiaries (including without limitation any minority interest) reducing Consolidated Net Income for such period, determined on a consolidated basis in accordance with GAAP.</w:t>
      </w:r>
    </w:p>
    <w:p>
      <w:pPr>
        <w:spacing w:after="0" w:line="176"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Assets</w:t>
      </w:r>
      <w:r>
        <w:rPr>
          <w:rFonts w:ascii="Times New Roman" w:cs="Times New Roman" w:eastAsia="Times New Roman" w:hAnsi="Times New Roman"/>
          <w:sz w:val="18"/>
          <w:szCs w:val="18"/>
          <w:color w:val="auto"/>
        </w:rPr>
        <w:t>” means the total assets of the Parent Guarantor and its Subsidiaries as of the most recent fiscal quarter end for which an internal consolidated balance sheet of the Parent Guarantor and its Subsidiaries is available, all calculated on a consolidated basis in accordance with GAAP (which calculation shall give pro forma effect to any Asset Acquisition or Asset Disposition consummated by the Parent Guarantor since the date of such balance sheet and on or prior to the date of determination, as if such Asset Acquisition or Asset Disposition had been consummated on the date of such consolidated balance sheet).</w:t>
      </w:r>
    </w:p>
    <w:p>
      <w:pPr>
        <w:spacing w:after="0" w:line="183"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For the purposes of calculating “Consolidated Total Assets,” “Asset Acquisition” means any acquisition of property or series of related acquisitions of property that constitutes all or substantially all of the assets of a business, unit or division of a Person or constitutes all or substantially all of the common stock (or equivalent) of a Person; and “Asset Disposition” means any disposition of property or series of related dispositions of property that involves all or substantially all of the assets of a business, unit or division of a Person or constitutes all or substantially all of the common stock (or equivalent) of a Person.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20" w:name="page21"/>
    <w:bookmarkEnd w:id="20"/>
    <w:p>
      <w:pPr>
        <w:ind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Corporate Trust Office</w:t>
      </w:r>
      <w:r>
        <w:rPr>
          <w:rFonts w:ascii="Times New Roman" w:cs="Times New Roman" w:eastAsia="Times New Roman" w:hAnsi="Times New Roman"/>
          <w:sz w:val="18"/>
          <w:szCs w:val="18"/>
          <w:color w:val="auto"/>
        </w:rPr>
        <w:t>” means the office of the Trustee at which any time its corporate trust business in relation to this Indenture shall be administered, which at the date hereof is located at 225 W. Station Square Drive, Suite 380, Pittsburgh PA 15219, Attention: Corporate Trust Services, or such other address as the Trustee may designate from time to time by notice to the Holders and the Issuer, or the principal corporate trust office of any successor Trustee (or such other address as such successor Trustee may designate from time to time by notice to the Holders and the Issuer).</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 has the meaning set forth in Section 9.03.</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Covenant Termination Event</w:t>
      </w:r>
      <w:r>
        <w:rPr>
          <w:rFonts w:ascii="Times New Roman" w:cs="Times New Roman" w:eastAsia="Times New Roman" w:hAnsi="Times New Roman"/>
          <w:sz w:val="18"/>
          <w:szCs w:val="18"/>
          <w:color w:val="auto"/>
        </w:rPr>
        <w:t>” has the meaning set forth in Section 4.15(a).</w:t>
      </w:r>
    </w:p>
    <w:p>
      <w:pPr>
        <w:spacing w:after="0" w:line="225"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Facilities</w:t>
      </w:r>
      <w:r>
        <w:rPr>
          <w:rFonts w:ascii="Times New Roman" w:cs="Times New Roman" w:eastAsia="Times New Roman" w:hAnsi="Times New Roman"/>
          <w:sz w:val="18"/>
          <w:szCs w:val="18"/>
          <w:color w:val="auto"/>
        </w:rPr>
        <w:t>” means one or more debt facilities (including, without limitation, the ABL Facility, the Receivables Facility) or commercial paper facilities, in each case with banks or other lenders providing for revolving credit loans, term loans or letters of credit, together with all related notes, letters of credit, collateral documents, guarantees and any other related agreements and instruments executed and delivered in connection therewith, in each case as amended, modified, refinanced, refunded or replaced in whole or in part (including by sales of debt securities) from time to time including by or pursuant to any agreement(s) or instrument(s) (including an indenture) extending the maturity of or refinancing (including increasing the amount of available borrowings thereunder or adding the Parent Guarantor or Subsidiaries of the Parent Guarantor as borrowers or guarantors thereunder) all or any portion of the Indebtedness under such agreement(s) or instrument(s) or any successor or replacement bank credit agreement(s) and whether by the same or any other agent, lender, group of lenders, purchasers, debt holders, creditor or group of creditors.</w:t>
      </w:r>
    </w:p>
    <w:p>
      <w:pPr>
        <w:spacing w:after="0" w:line="192"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(1) any Event of Default or (2) any event, act or condition that, after notice or the passage of time or both, would be an Event of Default.</w:t>
      </w:r>
    </w:p>
    <w:p>
      <w:pPr>
        <w:spacing w:after="0" w:line="162"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means, with respect to the Global Notes, The Depository Trust Company or another Person designated as depositary by the Issuer, which Person must be a clearing agency registered under the Exchange Act.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Depositary Custodian</w:t>
      </w:r>
      <w:r>
        <w:rPr>
          <w:rFonts w:ascii="Times New Roman" w:cs="Times New Roman" w:eastAsia="Times New Roman" w:hAnsi="Times New Roman"/>
          <w:sz w:val="18"/>
          <w:szCs w:val="18"/>
          <w:color w:val="auto"/>
        </w:rPr>
        <w:t>” means the Trustee as custodian with respect to the Global Notes or any successor entity thereto.</w:t>
      </w:r>
    </w:p>
    <w:p>
      <w:pPr>
        <w:spacing w:after="0" w:line="225" w:lineRule="exact"/>
        <w:rPr>
          <w:sz w:val="20"/>
          <w:szCs w:val="20"/>
          <w:color w:val="auto"/>
        </w:rPr>
      </w:pPr>
    </w:p>
    <w:p>
      <w:pPr>
        <w:ind w:right="5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Non-cash Consideration</w:t>
      </w:r>
      <w:r>
        <w:rPr>
          <w:rFonts w:ascii="Times New Roman" w:cs="Times New Roman" w:eastAsia="Times New Roman" w:hAnsi="Times New Roman"/>
          <w:sz w:val="18"/>
          <w:szCs w:val="18"/>
          <w:color w:val="auto"/>
        </w:rPr>
        <w:t>” means the fair market value of non-cash consideration received by the Issuer or any of the Guarantors in connection with an Asset Disposition that is designated as “Designated Non-cash Consideration” pursuant to an officer’s certificate, setting forth the basis of such valuation, less the amount of cash or cash equivalents received in connection with a subsequent sale, redemption or payment of, on or with respect to such Designated Non-cash Consideration.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21" w:name="page22"/>
    <w:bookmarkEnd w:id="21"/>
    <w:p>
      <w:pPr>
        <w:ind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Disqualified Equity Interests</w:t>
      </w:r>
      <w:r>
        <w:rPr>
          <w:rFonts w:ascii="Times New Roman" w:cs="Times New Roman" w:eastAsia="Times New Roman" w:hAnsi="Times New Roman"/>
          <w:sz w:val="18"/>
          <w:szCs w:val="18"/>
          <w:color w:val="auto"/>
        </w:rPr>
        <w:t xml:space="preserve">” of any Person means any class of Equity Interests of such Person that, by its terms, or by the terms of any related agreement or of any security into which it is convertible, puttable or exchangeable, is, or upon the happening of any event or the passage of time would be, required to be redeemed by such Person, whether or not at the option of the holder thereof, or matures or is mandatorily redeemable, pursuant to a sinking fund obligation or otherwise, in whole or in part, in each case, (x) with respect to the 5-Year Notes, on or prior to the date which is 91 days after the final maturity date of such Notes and (y) with respect to the 8-Year Notes, on or prior to the date which is 91 days after the final maturity date of such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any class of Equity Interests of such Person that, by its terms, authorizes such Person to satisfy in full its obligations with respect to the payment of dividends or upon maturity, redemption (pursuant to a sinking fund or otherwise) or repurchase thereof or otherwise by the delivery of Equity Interests that are not Disqualified Equity Interests, and that is not convertible, puttable or exchangeable for Disqualified Equity Interests or Indebtedness, will not be deemed to be Disqualified Equity Interests so long as such Person satisfies its obligations with respect thereto solely by the delivery of Equity Interests that are not Disqualified Equity Interests;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Equity Interests that would not constitute Disqualified Equity Interests but for provisions thereof giving holders thereof (or the holders of any security into or for which such Equity Interests are convertible, exchangeable or exercisable) the right to require the Issuer to redeem such Equity Interests upon the occurrence of a change of control occurring prior to (x) with respect to the 5-Year Notes, the 91st day after the final maturity date of such Notes and (y) with respect to the 8-Year Notes, the 91st day after the final maturity date of such Notes, in each case, shall not constitute Disqualified Equity Interests if the change of control provisions applicable to such Equity Interests are no more favorable to such holders than the provisions of Section 4.07 and such Equity Interests specifically provide that the Issuer will not redeem any such Equity Interests pursuant to such provisions prior to the Issuer’s purchase of each series of Notes as required pursuant to Section 4.07.</w:t>
      </w:r>
    </w:p>
    <w:p>
      <w:pPr>
        <w:spacing w:after="0" w:line="193"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Division</w:t>
      </w:r>
      <w:r>
        <w:rPr>
          <w:rFonts w:ascii="Times New Roman" w:cs="Times New Roman" w:eastAsia="Times New Roman" w:hAnsi="Times New Roman"/>
          <w:sz w:val="18"/>
          <w:szCs w:val="18"/>
          <w:color w:val="auto"/>
        </w:rPr>
        <w:t>” means the division of the assets, liabilities and/or obligations of a Person (the “Dividing Person”) among two or more Persons (whether pursuant to a “plan of division” or similar arrangement), which may or may not include the Dividing Person and pursuant to which the Dividing Person may or may not survive.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any Subsidiary of the Issuer, other than a Foreign Subsidiary.</w:t>
      </w:r>
    </w:p>
    <w:p>
      <w:pPr>
        <w:spacing w:after="0" w:line="225"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of any Person means (1) any and all shares or other equity interests (including common stock, Preferred Stock, limited liability company interests and partnership interests) in such Person and (2) all rights to purchase, warrants or options (whether or not currently exercisable), participations or other equivalents of or interests in (however designated) such shares or other interests in such Person, but excluding any debt securities that are convertible into such shares or other interests in such Person.</w:t>
      </w:r>
    </w:p>
    <w:p>
      <w:pPr>
        <w:spacing w:after="0" w:line="180" w:lineRule="exact"/>
        <w:rPr>
          <w:sz w:val="20"/>
          <w:szCs w:val="20"/>
          <w:color w:val="auto"/>
        </w:rPr>
      </w:pPr>
    </w:p>
    <w:p>
      <w:pPr>
        <w:jc w:val="both"/>
        <w:ind w:right="4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Offering</w:t>
      </w:r>
      <w:r>
        <w:rPr>
          <w:rFonts w:ascii="Times New Roman" w:cs="Times New Roman" w:eastAsia="Times New Roman" w:hAnsi="Times New Roman"/>
          <w:sz w:val="18"/>
          <w:szCs w:val="18"/>
          <w:color w:val="auto"/>
        </w:rPr>
        <w:t>” means a public sale for cash of common stock of the Parent Guarantor or any direct or indirect parent entity of the Parent Guarantor, other than (i) public offerings with respect to common stock of the Parent Guarantor or any of its direct or indirect parent entities registered on Form S-4 or Form S-8 or (ii) any sale to any Subsidiary of the Parent Guarantor.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22" w:name="page23"/>
    <w:bookmarkEnd w:id="2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has the meaning set forth in Section 6.01.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Excess Proceeds</w:t>
      </w:r>
      <w:r>
        <w:rPr>
          <w:rFonts w:ascii="Times New Roman" w:cs="Times New Roman" w:eastAsia="Times New Roman" w:hAnsi="Times New Roman"/>
          <w:sz w:val="18"/>
          <w:szCs w:val="18"/>
          <w:color w:val="auto"/>
        </w:rPr>
        <w:t>” has the meaning set forth in Section 4.08(c).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Fitch</w:t>
      </w:r>
      <w:r>
        <w:rPr>
          <w:rFonts w:ascii="Times New Roman" w:cs="Times New Roman" w:eastAsia="Times New Roman" w:hAnsi="Times New Roman"/>
          <w:sz w:val="18"/>
          <w:szCs w:val="18"/>
          <w:color w:val="auto"/>
        </w:rPr>
        <w:t>” means Fitch Ratings, Inc. and any successor to its rating agency business.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means the fiscal year of the Issuer, which at the date hereof ends on December 31.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Fixed Basket</w:t>
      </w:r>
      <w:r>
        <w:rPr>
          <w:rFonts w:ascii="Times New Roman" w:cs="Times New Roman" w:eastAsia="Times New Roman" w:hAnsi="Times New Roman"/>
          <w:sz w:val="18"/>
          <w:szCs w:val="18"/>
          <w:color w:val="auto"/>
        </w:rPr>
        <w:t>” shall mean with respect to any covenant, any exception, threshold or basket based on any fixed amount.</w:t>
      </w:r>
    </w:p>
    <w:p>
      <w:pPr>
        <w:spacing w:after="0" w:line="225" w:lineRule="exact"/>
        <w:rPr>
          <w:sz w:val="20"/>
          <w:szCs w:val="20"/>
          <w:color w:val="auto"/>
        </w:rPr>
      </w:pPr>
    </w:p>
    <w:p>
      <w:pPr>
        <w:jc w:val="both"/>
        <w:ind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(i) any Subsidiary of the Issuer that is organized under the laws of a jurisdiction other than the United States, any state thereof or the District of Columbia, (ii) any Subsidiary of the Issuer that is a CFC Subsidiary Holding Company, or (iii) any Subsidiary of the Issuer that is a direct or indirect subsidiary of any CFC Subsidiary or CFC Subsidiary Holding Company.</w:t>
      </w:r>
    </w:p>
    <w:p>
      <w:pPr>
        <w:spacing w:after="0" w:line="176"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xml:space="preserve">”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which are in effect on the Issue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for the avoidance of doubt, that any leases that are not or would not be characterized as Capitalized Leases under GAAP as in effect on June 15, 2016 shall not be reclassified as Capitalized Leases and additional liabilities associated with such leases shall not be classified as Indebtedness as a result of any changes in interpretive releases or literature regarding GAAP or any requirements by the independent auditors of the Parent Guarantor.</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Global Note Legend</w:t>
      </w:r>
      <w:r>
        <w:rPr>
          <w:rFonts w:ascii="Times New Roman" w:cs="Times New Roman" w:eastAsia="Times New Roman" w:hAnsi="Times New Roman"/>
          <w:sz w:val="18"/>
          <w:szCs w:val="18"/>
          <w:color w:val="auto"/>
        </w:rPr>
        <w:t xml:space="preserve">” means the legend substantially in the form set forth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Global Notes</w:t>
      </w:r>
      <w:r>
        <w:rPr>
          <w:rFonts w:ascii="Times New Roman" w:cs="Times New Roman" w:eastAsia="Times New Roman" w:hAnsi="Times New Roman"/>
          <w:sz w:val="18"/>
          <w:szCs w:val="18"/>
          <w:color w:val="auto"/>
        </w:rPr>
        <w:t>” has the meaning set forth in Section 2.16(a).</w:t>
      </w:r>
    </w:p>
    <w:p>
      <w:pPr>
        <w:spacing w:after="0" w:line="225"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means a guarantee (other than by endorsement of negotiable instruments for collection in the ordinary course of business), direct or indirect, in any manner (including, without limitation, through letters of credit and reimbursement agreements in respect thereof), of all or any part of any Indebtedness. “Guarantee” when used as a verb shall have a corresponding meaning.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23" w:name="page24"/>
    <w:bookmarkEnd w:id="2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1120" w:hanging="261"/>
        <w:spacing w:after="0"/>
        <w:tabs>
          <w:tab w:leader="none" w:pos="1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Guarantor;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Domestic Subsidiary of the Issuer that executes and delivers a Guarantee pursuant to Section 4.14; and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of the Issuer that otherwise executes and delivers a Guarantee,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 until such time as such Person is released from its Guarantee in accordance with the provisions of this Indenture.</w:t>
      </w:r>
    </w:p>
    <w:p>
      <w:pPr>
        <w:spacing w:after="0" w:line="225"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Hedging Obligations</w:t>
      </w:r>
      <w:r>
        <w:rPr>
          <w:rFonts w:ascii="Times New Roman" w:cs="Times New Roman" w:eastAsia="Times New Roman" w:hAnsi="Times New Roman"/>
          <w:sz w:val="18"/>
          <w:szCs w:val="18"/>
          <w:color w:val="auto"/>
        </w:rPr>
        <w:t>” of any Person means the obligations of such Person under swap, cap, collar, forward purchase or similar agreements or arrangements dealing with interest rates, currency exchange rates or commodity prices or availability, either generally or under specific contingencies, and including both physical and financial settlement transactions.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Noteholder</w:t>
      </w:r>
      <w:r>
        <w:rPr>
          <w:rFonts w:ascii="Times New Roman" w:cs="Times New Roman" w:eastAsia="Times New Roman" w:hAnsi="Times New Roman"/>
          <w:sz w:val="18"/>
          <w:szCs w:val="18"/>
          <w:color w:val="auto"/>
        </w:rPr>
        <w:t>” means any registered holder, from time to time, of any series of Notes.</w:t>
      </w:r>
    </w:p>
    <w:p>
      <w:pPr>
        <w:spacing w:after="0" w:line="225"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Incurrence-Based Basket</w:t>
      </w:r>
      <w:r>
        <w:rPr>
          <w:rFonts w:ascii="Times New Roman" w:cs="Times New Roman" w:eastAsia="Times New Roman" w:hAnsi="Times New Roman"/>
          <w:sz w:val="18"/>
          <w:szCs w:val="18"/>
          <w:color w:val="auto"/>
        </w:rPr>
        <w:t>” means, with respect to any covenant, any incurrence based exception, threshold or basket based on any applicable ratio or financial test.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any Person at any date means, without duplication:</w:t>
      </w:r>
    </w:p>
    <w:p>
      <w:pPr>
        <w:spacing w:after="0" w:line="117" w:lineRule="exact"/>
        <w:rPr>
          <w:sz w:val="20"/>
          <w:szCs w:val="20"/>
          <w:color w:val="auto"/>
        </w:rPr>
      </w:pPr>
    </w:p>
    <w:p>
      <w:pPr>
        <w:ind w:left="440" w:right="120" w:firstLine="419"/>
        <w:spacing w:after="0" w:line="282" w:lineRule="auto"/>
        <w:tabs>
          <w:tab w:leader="none" w:pos="110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contingent or otherwise, of such Person for borrowed money (whether or not the recourse of the lender is to the whole of the assets of such Person or only to a portion thereof);</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evidenced by bonds, debentures, notes or other similar instruments;</w:t>
      </w:r>
    </w:p>
    <w:p>
      <w:pPr>
        <w:spacing w:after="0" w:line="117"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0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reimbursement obligations of such Person in respect of letters of credit, letters of guaranty, bankers’ acceptances and similar credit transactions;</w:t>
      </w:r>
    </w:p>
    <w:p>
      <w:pPr>
        <w:spacing w:after="0" w:line="53" w:lineRule="exact"/>
        <w:rPr>
          <w:rFonts w:ascii="Times New Roman" w:cs="Times New Roman" w:eastAsia="Times New Roman" w:hAnsi="Times New Roman"/>
          <w:sz w:val="18"/>
          <w:szCs w:val="18"/>
          <w:color w:val="auto"/>
        </w:rPr>
      </w:pPr>
    </w:p>
    <w:p>
      <w:pPr>
        <w:ind w:left="440" w:firstLine="419"/>
        <w:spacing w:after="0" w:line="261" w:lineRule="auto"/>
        <w:tabs>
          <w:tab w:leader="none" w:pos="111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to pay the deferred and unpaid purchase price of property or services due more than six months after such property is acquired or services performed, except (i) trade payables and accrued expenses, (ii) obligations to pay royalty fees or other payments under license agreements and (iii) accrued expenses, salary and other employee compensation obligations, in each case incurred in the ordinary course of business in connection with obtaining goods, materials or services;</w:t>
      </w:r>
    </w:p>
    <w:p>
      <w:pPr>
        <w:spacing w:after="0" w:line="71"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0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fixed redemption or repurchase price of all Disqualified Equity Interests of such Person (but excluding any accrued but unpaid dividends);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00"/>
          </w:cols>
          <w:pgMar w:left="440" w:top="270" w:right="559" w:bottom="1440" w:gutter="0" w:footer="0" w:header="0"/>
        </w:sectPr>
      </w:pPr>
    </w:p>
    <w:bookmarkStart w:id="24" w:name="page25"/>
    <w:bookmarkEnd w:id="24"/>
    <w:p>
      <w:pPr>
        <w:ind w:left="1080" w:hanging="221"/>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Capitalized Lease Obligations of such Person;</w:t>
      </w:r>
    </w:p>
    <w:p>
      <w:pPr>
        <w:spacing w:after="0" w:line="117" w:lineRule="exact"/>
        <w:rPr>
          <w:rFonts w:ascii="Times New Roman" w:cs="Times New Roman" w:eastAsia="Times New Roman" w:hAnsi="Times New Roman"/>
          <w:sz w:val="18"/>
          <w:szCs w:val="18"/>
          <w:color w:val="auto"/>
        </w:rPr>
      </w:pPr>
    </w:p>
    <w:p>
      <w:pPr>
        <w:ind w:left="440" w:right="280" w:firstLine="419"/>
        <w:spacing w:after="0" w:line="282" w:lineRule="auto"/>
        <w:tabs>
          <w:tab w:leader="none" w:pos="11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of others secured by a Security Interest on any asset of such Person, whether or not such Indebtedness is assumed by such Person;</w:t>
      </w:r>
    </w:p>
    <w:p>
      <w:pPr>
        <w:spacing w:after="0" w:line="51" w:lineRule="exact"/>
        <w:rPr>
          <w:rFonts w:ascii="Times New Roman" w:cs="Times New Roman" w:eastAsia="Times New Roman" w:hAnsi="Times New Roman"/>
          <w:sz w:val="18"/>
          <w:szCs w:val="18"/>
          <w:color w:val="auto"/>
        </w:rPr>
      </w:pPr>
    </w:p>
    <w:p>
      <w:pPr>
        <w:ind w:left="440" w:right="60" w:firstLine="419"/>
        <w:spacing w:after="0" w:line="267" w:lineRule="auto"/>
        <w:tabs>
          <w:tab w:leader="none" w:pos="11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Indebtedness of others guaranteed by such Person to the extent of such guarantee;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Indebtedness of the Parent Guarantor or any of its Subsidiaries that is guaranteed by the Parent Guarantor or any such Subsidiary shall only be counted once in the calculation of the amount of Indebtedness of the Parent Guarantor and its Subsidiaries on a consolidated basis;</w:t>
      </w:r>
    </w:p>
    <w:p>
      <w:pPr>
        <w:spacing w:after="0" w:line="6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Attributable Indebtedness; and</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under conditional sale or other title retention agreements relating to assets purchased by such Person.</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The amount of Indebtedness of any Person at any date shall be the outstanding balance at such date of all unconditional obligations as described above, the maximum liability of such Person for any such contingent obligations at such date and, in the case of clause (g), the lesser of (a) the fair market value of any asset subject to a Security Interest securing the Indebtedness of others on the date that the Security Interest attaches and (b) the amount of the Indebtedness secured. For purposes of clause (e), the “maximum fixed redemption or repurchase price” of any Disqualified Equity Interests that do not have a fixed redemption or repurchase price shall be calculated in accordance with the terms of such Disqualified Equity Interests as if such Disqualified Equity Interests were redeemed or repurchased on any date on which an amount of Indebtedness outstanding shall be required to be determined pursuant to this Indenture.</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means this Indenture as amended, restated or supplemented from time to time.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5-Year Notes</w:t>
      </w:r>
      <w:r>
        <w:rPr>
          <w:rFonts w:ascii="Times New Roman" w:cs="Times New Roman" w:eastAsia="Times New Roman" w:hAnsi="Times New Roman"/>
          <w:sz w:val="18"/>
          <w:szCs w:val="18"/>
          <w:color w:val="auto"/>
        </w:rPr>
        <w:t>” means the first $900,000,000 aggregate principal amount of 5-Year Notes issued under this Indenture on the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8-Year Notes</w:t>
      </w:r>
      <w:r>
        <w:rPr>
          <w:rFonts w:ascii="Times New Roman" w:cs="Times New Roman" w:eastAsia="Times New Roman" w:hAnsi="Times New Roman"/>
          <w:sz w:val="18"/>
          <w:szCs w:val="18"/>
          <w:color w:val="auto"/>
        </w:rPr>
        <w:t>” means the first $850,000,000 aggregate principal amount of 8-Year Notes issued under this Indenture on the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Notes</w:t>
      </w:r>
      <w:r>
        <w:rPr>
          <w:rFonts w:ascii="Times New Roman" w:cs="Times New Roman" w:eastAsia="Times New Roman" w:hAnsi="Times New Roman"/>
          <w:sz w:val="18"/>
          <w:szCs w:val="18"/>
          <w:color w:val="auto"/>
        </w:rPr>
        <w:t>” means the Initial 5-Year Notes and the Initial 8-Year Notes.</w:t>
      </w:r>
    </w:p>
    <w:p>
      <w:pPr>
        <w:spacing w:after="0" w:line="225"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Purchasers</w:t>
      </w:r>
      <w:r>
        <w:rPr>
          <w:rFonts w:ascii="Times New Roman" w:cs="Times New Roman" w:eastAsia="Times New Roman" w:hAnsi="Times New Roman"/>
          <w:sz w:val="18"/>
          <w:szCs w:val="18"/>
          <w:color w:val="auto"/>
        </w:rPr>
        <w:t>” means Goldman Sachs &amp; Co. LLC, BofA Securities, Inc., Wells Fargo Securities, LLC, Barclays Capital Inc., CIBC World Markets Corp., PNC Capital Markets LLC, Fifth Third Securities, Inc., HSBC Securities (USA) Inc., Morgan Stanley &amp; Co., LLC, Scotia Capital (USA) Inc., Citigroup Global Markets Inc., Citizens JMP Securities, LLC, TD Securities (USA) LLC, U.S. Bancorp Investments, Inc. and Academy Securities, Inc.</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Security Interest</w:t>
      </w:r>
      <w:r>
        <w:rPr>
          <w:rFonts w:ascii="Times New Roman" w:cs="Times New Roman" w:eastAsia="Times New Roman" w:hAnsi="Times New Roman"/>
          <w:sz w:val="18"/>
          <w:szCs w:val="18"/>
          <w:color w:val="auto"/>
        </w:rPr>
        <w:t>” has the meaning set forth in Section 4.10.</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25" w:name="page26"/>
    <w:bookmarkEnd w:id="2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means, with respect to each series of Notes, interest with respect thereto.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the stated maturity of an installment of interest on the Notes.</w:t>
      </w:r>
    </w:p>
    <w:p>
      <w:pPr>
        <w:spacing w:after="0" w:line="225"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Grade Rating</w:t>
      </w:r>
      <w:r>
        <w:rPr>
          <w:rFonts w:ascii="Times New Roman" w:cs="Times New Roman" w:eastAsia="Times New Roman" w:hAnsi="Times New Roman"/>
          <w:sz w:val="18"/>
          <w:szCs w:val="18"/>
          <w:color w:val="auto"/>
        </w:rPr>
        <w:t>” means a rating equal to or higher than Baa3 (or the equivalent) by Moody’s, BBB- (or the equivalent) by S&amp;P and BBB- (or the equivalent) by Fitch, in each case with stable outlook, or an equivalent rating by any other Rating Agency.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 Date</w:t>
      </w:r>
      <w:r>
        <w:rPr>
          <w:rFonts w:ascii="Times New Roman" w:cs="Times New Roman" w:eastAsia="Times New Roman" w:hAnsi="Times New Roman"/>
          <w:sz w:val="18"/>
          <w:szCs w:val="18"/>
          <w:color w:val="auto"/>
        </w:rPr>
        <w:t>” means March 7, 2024, the date on which Notes were first issued under this Indenture.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has the meaning set forth in the recitals hereto.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Legal Defeasance</w:t>
      </w:r>
      <w:r>
        <w:rPr>
          <w:rFonts w:ascii="Times New Roman" w:cs="Times New Roman" w:eastAsia="Times New Roman" w:hAnsi="Times New Roman"/>
          <w:sz w:val="18"/>
          <w:szCs w:val="18"/>
          <w:color w:val="auto"/>
        </w:rPr>
        <w:t>” has the meaning set forth in Section 9.02.</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Legal Holiday</w:t>
      </w:r>
      <w:r>
        <w:rPr>
          <w:rFonts w:ascii="Times New Roman" w:cs="Times New Roman" w:eastAsia="Times New Roman" w:hAnsi="Times New Roman"/>
          <w:sz w:val="18"/>
          <w:szCs w:val="18"/>
          <w:color w:val="auto"/>
        </w:rPr>
        <w:t>” has the meaning set forth in Section 11.06.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has the meaning set forth in Section 7.07.</w:t>
      </w:r>
    </w:p>
    <w:p>
      <w:pPr>
        <w:spacing w:after="0" w:line="225" w:lineRule="exact"/>
        <w:rPr>
          <w:sz w:val="20"/>
          <w:szCs w:val="20"/>
          <w:color w:val="auto"/>
        </w:rPr>
      </w:pPr>
    </w:p>
    <w:p>
      <w:pPr>
        <w:ind w:right="5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when used with respect to any Note, means the date on which the principal amount of such Note becomes due and payable as therein or herein provided.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and any successor to its rating agency business.</w:t>
      </w:r>
    </w:p>
    <w:p>
      <w:pPr>
        <w:spacing w:after="0" w:line="225"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Available Cash</w:t>
      </w:r>
      <w:r>
        <w:rPr>
          <w:rFonts w:ascii="Times New Roman" w:cs="Times New Roman" w:eastAsia="Times New Roman" w:hAnsi="Times New Roman"/>
          <w:sz w:val="18"/>
          <w:szCs w:val="18"/>
          <w:color w:val="auto"/>
        </w:rPr>
        <w:t>” from an Asset Disposition means cash payments received therefrom (including any cash payments received by way of deferred payment of principal pursuant to a note or installment receivable or otherwise, but only as and when received, but excluding any other consideration received in the form of assumption by the acquiring Person of Indebtedness or other obligations relating to such properties or assets or received in any other noncash form), in each case net of:</w:t>
      </w:r>
    </w:p>
    <w:p>
      <w:pPr>
        <w:spacing w:after="0" w:line="72" w:lineRule="exact"/>
        <w:rPr>
          <w:sz w:val="20"/>
          <w:szCs w:val="20"/>
          <w:color w:val="auto"/>
        </w:rPr>
      </w:pPr>
    </w:p>
    <w:p>
      <w:pPr>
        <w:ind w:left="440" w:right="200" w:firstLine="419"/>
        <w:spacing w:after="0" w:line="266" w:lineRule="auto"/>
        <w:tabs>
          <w:tab w:leader="none" w:pos="111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legal, accounting, investment banking, title and recording tax expenses, commissions and other fees (including financial and other advisory fees) and expenses incurred, and all Federal, state, provincial, foreign and local taxes required to be paid or accrued as a liability under GAAP, as a consequence of such Asset Disposition;</w:t>
      </w:r>
    </w:p>
    <w:p>
      <w:pPr>
        <w:spacing w:after="0" w:line="67"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made on any Indebtedness which is secured by any assets subject to such Asset Disposition, in accordance with the terms of any lien upon or other security agreement of any kind with respect to such assets, or which must by its terms, or in order to obtain a necessary consent to such Asset Disposition, or by applicable law, be repaid out of the proceeds from such Asset Disposition;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26" w:name="page27"/>
    <w:bookmarkEnd w:id="26"/>
    <w:p>
      <w:pPr>
        <w:ind w:left="440" w:right="40" w:firstLine="419"/>
        <w:spacing w:after="0" w:line="282" w:lineRule="auto"/>
        <w:tabs>
          <w:tab w:leader="none" w:pos="111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distributions and other payments required to be made to non-controlling interest holders in Subsidiaries or joint ventures as a result of such Asset Disposition; and</w:t>
      </w:r>
    </w:p>
    <w:p>
      <w:pPr>
        <w:spacing w:after="0" w:line="53"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1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amounts provided by the seller as a reserve, in accordance with GAAP, against any liabilities associated with the property or other assets disposed in such Asset Disposition and retained by the Parent Guarantor or any of its Subsidiaries after such Asset Disposition.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Non-U.S. Person</w:t>
      </w:r>
      <w:r>
        <w:rPr>
          <w:rFonts w:ascii="Times New Roman" w:cs="Times New Roman" w:eastAsia="Times New Roman" w:hAnsi="Times New Roman"/>
          <w:sz w:val="18"/>
          <w:szCs w:val="18"/>
          <w:color w:val="auto"/>
        </w:rPr>
        <w:t>” means a Person who is not a U.S. Person.</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means, with respect to each series, the Initial Notes and the Additional Notes, if any. For each series, the Initial Notes issued on the Issue Date and the Additional Notes shall be treated as a single class for all purposes under this Indenture; provided, that if any such Additional Notes of a series are not fungible with the Initial Notes of such series for U.S. federal income tax purposes, such Additional Notes will have separate CUSIP numbers from the Initial Notes of such series, and unless the context otherwise requires, all references to the Notes shall include the Notes issued on the Issue Date and any Additional Notes.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has the meaning set forth in Section 4.08(a).</w:t>
      </w:r>
    </w:p>
    <w:p>
      <w:pPr>
        <w:spacing w:after="0" w:line="225"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Offering Memorandum</w:t>
      </w:r>
      <w:r>
        <w:rPr>
          <w:rFonts w:ascii="Times New Roman" w:cs="Times New Roman" w:eastAsia="Times New Roman" w:hAnsi="Times New Roman"/>
          <w:sz w:val="18"/>
          <w:szCs w:val="18"/>
          <w:color w:val="auto"/>
        </w:rPr>
        <w:t>” means the Offering Memorandum of the Issuer, dated February 26, 2024, relating to the offering of the Notes on the Issue Date.</w:t>
      </w:r>
    </w:p>
    <w:p>
      <w:pPr>
        <w:spacing w:after="0" w:line="162" w:lineRule="exact"/>
        <w:rPr>
          <w:sz w:val="20"/>
          <w:szCs w:val="20"/>
          <w:color w:val="auto"/>
        </w:rPr>
      </w:pPr>
    </w:p>
    <w:p>
      <w:pPr>
        <w:ind w:right="6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means, with respect to any Person, the Chairman, President, Chief Executive Officer, Chief Financial Officer, Treasurer, Controller, any Senior Vice President, any Vice President of such Person or any other authorized officer or director of such Person.</w:t>
      </w:r>
    </w:p>
    <w:p>
      <w:pPr>
        <w:spacing w:after="0" w:line="162" w:lineRule="exact"/>
        <w:rPr>
          <w:sz w:val="20"/>
          <w:szCs w:val="20"/>
          <w:color w:val="auto"/>
        </w:rPr>
      </w:pPr>
    </w:p>
    <w:p>
      <w:pPr>
        <w:ind w:right="6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means, with respect to any Person, a certificate signed by any Officer of such Person that shall comply with applicable provisions of this Indenture.</w:t>
      </w:r>
    </w:p>
    <w:p>
      <w:pPr>
        <w:spacing w:after="0" w:line="162"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means a written opinion from legal counsel, who may be an employee of or counsel to the Parent Guarantor or any of its Subsidiaries, or other counsel who is reasonably acceptable to the Trustee. Each such opinion shall include the statements provided for in Section 11.04, if and to the extent required by the provisions thereof.</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Guarantor</w:t>
      </w:r>
      <w:r>
        <w:rPr>
          <w:rFonts w:ascii="Times New Roman" w:cs="Times New Roman" w:eastAsia="Times New Roman" w:hAnsi="Times New Roman"/>
          <w:sz w:val="18"/>
          <w:szCs w:val="18"/>
          <w:color w:val="auto"/>
        </w:rPr>
        <w:t>” means WESCO International, Inc., a Delaware corporation, the direct parent company of the Issuer and its successors.</w:t>
      </w:r>
    </w:p>
    <w:p>
      <w:pPr>
        <w:spacing w:after="0" w:line="223" w:lineRule="exact"/>
        <w:rPr>
          <w:sz w:val="20"/>
          <w:szCs w:val="20"/>
          <w:color w:val="auto"/>
        </w:rPr>
      </w:pPr>
    </w:p>
    <w:p>
      <w:pPr>
        <w:ind w:right="40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Pari Passu Indebtedness</w:t>
      </w:r>
      <w:r>
        <w:rPr>
          <w:rFonts w:ascii="Times New Roman" w:cs="Times New Roman" w:eastAsia="Times New Roman" w:hAnsi="Times New Roman"/>
          <w:sz w:val="18"/>
          <w:szCs w:val="18"/>
          <w:color w:val="auto"/>
        </w:rPr>
        <w:t xml:space="preserve">” means any Indebtedness of the Issuer or any Guarantor that ranks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each series of Notes or the Guarantees, as applicable.</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has the meaning set forth in Section 2.04.</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Default</w:t>
      </w:r>
      <w:r>
        <w:rPr>
          <w:rFonts w:ascii="Times New Roman" w:cs="Times New Roman" w:eastAsia="Times New Roman" w:hAnsi="Times New Roman"/>
          <w:sz w:val="18"/>
          <w:szCs w:val="18"/>
          <w:color w:val="auto"/>
        </w:rPr>
        <w:t>” has the meaning set forth in Section 6.01(a).</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7" w:name="page28"/>
    <w:bookmarkEnd w:id="2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Permitted Security Interest</w:t>
      </w:r>
      <w:r>
        <w:rPr>
          <w:rFonts w:ascii="Times New Roman" w:cs="Times New Roman" w:eastAsia="Times New Roman" w:hAnsi="Times New Roman"/>
          <w:sz w:val="18"/>
          <w:szCs w:val="18"/>
          <w:color w:val="auto"/>
        </w:rPr>
        <w:t>” has the meaning set forth in Section 4.10.</w:t>
      </w:r>
    </w:p>
    <w:p>
      <w:pPr>
        <w:spacing w:after="0" w:line="225"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partnership, corporation, limited liability company, unincorporated organization, trust or joint venture, or a governmental agency or political subdivision thereof.</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Physical Notes</w:t>
      </w:r>
      <w:r>
        <w:rPr>
          <w:rFonts w:ascii="Times New Roman" w:cs="Times New Roman" w:eastAsia="Times New Roman" w:hAnsi="Times New Roman"/>
          <w:sz w:val="18"/>
          <w:szCs w:val="18"/>
          <w:color w:val="auto"/>
        </w:rPr>
        <w:t>” means certificated Notes in registered form that are not Global Notes.</w:t>
      </w:r>
    </w:p>
    <w:p>
      <w:pPr>
        <w:spacing w:after="0" w:line="225"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means, with respect to any Person, any and all preferred or preference stock or other equity interests (however designated) of such Person having a preference or priority over other Equity Interests (however designated) of such Person, whether now outstanding or issued after the Issue Date.</w:t>
      </w:r>
    </w:p>
    <w:p>
      <w:pPr>
        <w:spacing w:after="0" w:line="176" w:lineRule="exact"/>
        <w:rPr>
          <w:sz w:val="20"/>
          <w:szCs w:val="20"/>
          <w:color w:val="auto"/>
        </w:rPr>
      </w:pPr>
    </w:p>
    <w:p>
      <w:pPr>
        <w:ind w:right="5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w:t>
      </w:r>
      <w:r>
        <w:rPr>
          <w:rFonts w:ascii="Times New Roman" w:cs="Times New Roman" w:eastAsia="Times New Roman" w:hAnsi="Times New Roman"/>
          <w:sz w:val="18"/>
          <w:szCs w:val="18"/>
          <w:color w:val="auto"/>
        </w:rPr>
        <w:t>” of a Note means the principal of the Note plus the premium, if any, payable on the Note which is due or overdue or is to become due at the relevant time.</w:t>
      </w:r>
    </w:p>
    <w:p>
      <w:pPr>
        <w:spacing w:after="0" w:line="162"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Facility</w:t>
      </w:r>
      <w:r>
        <w:rPr>
          <w:rFonts w:ascii="Times New Roman" w:cs="Times New Roman" w:eastAsia="Times New Roman" w:hAnsi="Times New Roman"/>
          <w:sz w:val="18"/>
          <w:szCs w:val="18"/>
          <w:color w:val="auto"/>
        </w:rPr>
        <w:t>” means any land, building, machinery or equipment, or leasehold interests and improvements in respect of the foregoing, owned, on the date of this Indenture or thereafter, by the Parent Guarantor or any of its Subsidiaries, which has a gross book value (without deduction for any depreciation reserves) at the date as of which the determination is being made of in excess of 1.0% of the Consolidated Total Assets, other than any such land, building, machinery or equipment, or leasehold interests and improvements in respect of the foregoing which, in the opinion of the Board of Directors of the Parent Guarantor (evidenced by a board resolution), is not of material importance to the business conducted by the Parent Guarantor and its Subsidiaries taken as a whole.</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Private Placement Legend</w:t>
      </w:r>
      <w:r>
        <w:rPr>
          <w:rFonts w:ascii="Times New Roman" w:cs="Times New Roman" w:eastAsia="Times New Roman" w:hAnsi="Times New Roman"/>
          <w:sz w:val="18"/>
          <w:szCs w:val="18"/>
          <w:color w:val="auto"/>
        </w:rPr>
        <w:t xml:space="preserve">” means the legend substantially in the form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140" w:firstLine="991"/>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Qualified Equity Interests</w:t>
      </w:r>
      <w:r>
        <w:rPr>
          <w:rFonts w:ascii="Times New Roman" w:cs="Times New Roman" w:eastAsia="Times New Roman" w:hAnsi="Times New Roman"/>
          <w:sz w:val="17"/>
          <w:szCs w:val="17"/>
          <w:color w:val="auto"/>
        </w:rPr>
        <w:t xml:space="preserve">” of any Person means Equity Interests of such Person other than Disqualified Equity Interests;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Equity Interests shall not be deemed Qualified Equity Interests to the extent sold to a Subsidiary of such Person or financed, directly or indirectly, using funds (1) borrowed from such Person or any Subsidiary of such Person until and to the extent such borrowing is repaid or (2) contributed, extended, guaranteed or advanced by such Person or any Subsidiary of such Person (including, without limitation, in respect of any employee stock ownership or benefit plan). Unless otherwise specified, Qualified Equity Interests refer to Qualified Equity Interests of the Parent Guarantor.</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Institutional Buyer</w:t>
      </w:r>
      <w:r>
        <w:rPr>
          <w:rFonts w:ascii="Times New Roman" w:cs="Times New Roman" w:eastAsia="Times New Roman" w:hAnsi="Times New Roman"/>
          <w:sz w:val="18"/>
          <w:szCs w:val="18"/>
          <w:color w:val="auto"/>
        </w:rPr>
        <w:t>” shall have the meaning specified in Rule 144A promulgated under the Securities Act.</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28" w:name="page29"/>
    <w:bookmarkEnd w:id="28"/>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Qualified Receivables Transaction</w:t>
      </w:r>
      <w:r>
        <w:rPr>
          <w:rFonts w:ascii="Times New Roman" w:cs="Times New Roman" w:eastAsia="Times New Roman" w:hAnsi="Times New Roman"/>
          <w:sz w:val="18"/>
          <w:szCs w:val="18"/>
          <w:color w:val="auto"/>
        </w:rPr>
        <w:t>” means any transaction or series of transactions that may be entered into by the Parent Guarantor or any of its Subsidiaries pursuant to which the Parent Guarantor or any of its Subsidiaries may sell, convey or otherwise transfer to:</w:t>
      </w:r>
    </w:p>
    <w:p>
      <w:pPr>
        <w:spacing w:after="0" w:line="54" w:lineRule="exact"/>
        <w:rPr>
          <w:sz w:val="20"/>
          <w:szCs w:val="20"/>
          <w:color w:val="auto"/>
        </w:rPr>
      </w:pPr>
    </w:p>
    <w:p>
      <w:pPr>
        <w:ind w:left="1120" w:hanging="261"/>
        <w:spacing w:after="0"/>
        <w:tabs>
          <w:tab w:leader="none" w:pos="1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Receivables Entity (in the case of a transfer by the Parent Guarantor or any of its Subsidiaries); or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 (in the case of a transfer by a Receivables Entity),</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or may grant a security interest in, any accounts receivable (whether now existing or arising in the future) of the Parent Guarantor or any of its Subsidiaries, and any assets related thereto, including all collateral securing such accounts receivable, all contracts and all Guarantees or other obligations in respect of such accounts receivable, proceeds of such accounts receivable and other assets which are customarily transferred or in respect of which security interests are customarily granted in connection with asset securitization transactions involving accounts receivable;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financing terms, covenants, termination events and other provisions thereof shall be market terms in all material respects at the time of such transaction (as determined in good faith by the Parent Guarantor). The grant of a Security Interest in any accounts receivable of the Parent Guarantor or any of its Subsidiaries to secure Indebtedness under Credit Facilities shall not be deemed a Qualified Receivables Transaction.</w:t>
      </w:r>
    </w:p>
    <w:p>
      <w:pPr>
        <w:spacing w:after="0" w:line="189"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 Agencies</w:t>
      </w:r>
      <w:r>
        <w:rPr>
          <w:rFonts w:ascii="Times New Roman" w:cs="Times New Roman" w:eastAsia="Times New Roman" w:hAnsi="Times New Roman"/>
          <w:sz w:val="18"/>
          <w:szCs w:val="18"/>
          <w:color w:val="auto"/>
        </w:rPr>
        <w:t>” means Moody’s, S&amp;P and Fitch or, if any of Moody’s, S&amp;P or Fitch shall not make a rating on the Notes publicly available, a nationally recognized statistical rating agency or agencies, as the case may be, selected by the Issuer which shall be substituted for Moody’s, S&amp;P or Fitch or any of them, as the case may be.</w:t>
      </w:r>
    </w:p>
    <w:p>
      <w:pPr>
        <w:spacing w:after="0" w:line="176" w:lineRule="exact"/>
        <w:rPr>
          <w:sz w:val="20"/>
          <w:szCs w:val="20"/>
          <w:color w:val="auto"/>
        </w:rPr>
      </w:pPr>
    </w:p>
    <w:p>
      <w:pPr>
        <w:jc w:val="both"/>
        <w:ind w:right="2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Entity</w:t>
      </w:r>
      <w:r>
        <w:rPr>
          <w:rFonts w:ascii="Times New Roman" w:cs="Times New Roman" w:eastAsia="Times New Roman" w:hAnsi="Times New Roman"/>
          <w:sz w:val="18"/>
          <w:szCs w:val="18"/>
          <w:color w:val="auto"/>
        </w:rPr>
        <w:t>” means (a) a Wholly Owned Subsidiary of the Parent Guarantor that is designated by the Board of Directors of the Parent Guarantor (as provided below) as a Receivables Entity or (b) another Person engaging in a Qualified Receivables Transaction with the Parent Guarantor, which Person engages in the business of the financing of accounts receivable, and in the case of either clause (a) or (b):</w:t>
      </w:r>
    </w:p>
    <w:p>
      <w:pPr>
        <w:spacing w:after="0" w:line="68" w:lineRule="exact"/>
        <w:rPr>
          <w:sz w:val="20"/>
          <w:szCs w:val="20"/>
          <w:color w:val="auto"/>
        </w:rPr>
      </w:pPr>
    </w:p>
    <w:p>
      <w:pPr>
        <w:ind w:left="1120" w:hanging="261"/>
        <w:spacing w:after="0"/>
        <w:tabs>
          <w:tab w:leader="none" w:pos="11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portion of the Indebtedness or any other obligations (contingent or otherwise) of such entity:</w:t>
      </w:r>
    </w:p>
    <w:p>
      <w:pPr>
        <w:spacing w:after="0" w:line="117" w:lineRule="exact"/>
        <w:rPr>
          <w:rFonts w:ascii="Times New Roman" w:cs="Times New Roman" w:eastAsia="Times New Roman" w:hAnsi="Times New Roman"/>
          <w:sz w:val="18"/>
          <w:szCs w:val="18"/>
          <w:color w:val="auto"/>
        </w:rPr>
      </w:pPr>
    </w:p>
    <w:p>
      <w:pPr>
        <w:ind w:left="980" w:right="320" w:firstLine="408"/>
        <w:spacing w:after="0" w:line="282" w:lineRule="auto"/>
        <w:tabs>
          <w:tab w:leader="none" w:pos="167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Guaranteed by the Parent Guarantor or any Subsidiary of the Parent Guarantor (excluding Guarantees of obligations (other than the principal of, and interest on, Indebtedness) pursuant to Standard Securitization Undertakings),</w:t>
      </w:r>
    </w:p>
    <w:p>
      <w:pPr>
        <w:spacing w:after="0" w:line="53" w:lineRule="exact"/>
        <w:rPr>
          <w:rFonts w:ascii="Times New Roman" w:cs="Times New Roman" w:eastAsia="Times New Roman" w:hAnsi="Times New Roman"/>
          <w:sz w:val="18"/>
          <w:szCs w:val="18"/>
          <w:color w:val="auto"/>
        </w:rPr>
      </w:pPr>
    </w:p>
    <w:p>
      <w:pPr>
        <w:ind w:left="980" w:right="360" w:firstLine="408"/>
        <w:spacing w:after="0" w:line="282" w:lineRule="auto"/>
        <w:tabs>
          <w:tab w:leader="none" w:pos="166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recourse to or obligates the Parent Guarantor or any Subsidiary of the Parent Guarantor in any way (other than pursuant to Standard Securitization Undertakings), or</w:t>
      </w:r>
    </w:p>
    <w:p>
      <w:pPr>
        <w:spacing w:after="0" w:line="53" w:lineRule="exact"/>
        <w:rPr>
          <w:rFonts w:ascii="Times New Roman" w:cs="Times New Roman" w:eastAsia="Times New Roman" w:hAnsi="Times New Roman"/>
          <w:sz w:val="18"/>
          <w:szCs w:val="18"/>
          <w:color w:val="auto"/>
        </w:rPr>
      </w:pPr>
    </w:p>
    <w:p>
      <w:pPr>
        <w:ind w:left="980" w:right="820" w:firstLine="408"/>
        <w:spacing w:after="0" w:line="282" w:lineRule="auto"/>
        <w:tabs>
          <w:tab w:leader="none" w:pos="166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any property or asset of the Parent Guarantor or any Subsidiary of the Parent Guarantor, directly or indirectly, contingently or otherwise, to the satisfaction thereof (other than pursuant to Standard Securitization Undertakings);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29" w:name="page30"/>
    <w:bookmarkEnd w:id="29"/>
    <w:p>
      <w:pPr>
        <w:ind w:left="440" w:right="100" w:firstLine="419"/>
        <w:spacing w:after="0" w:line="261" w:lineRule="auto"/>
        <w:tabs>
          <w:tab w:leader="none" w:pos="111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entity is not an Affiliate of the Parent Guarantor or is an entity with which neither the Parent Guarantor nor any Subsidiary of the Parent Guarantor has any material contract, agreement, arrangement or understanding other than on terms that the Parent Guarantor reasonably believes to be no less favorable to the Parent Guarantor or such Subsidiary than those that might be obtained at the time from Persons that are not Affiliates of the Parent Guarantor; and</w:t>
      </w:r>
    </w:p>
    <w:p>
      <w:pPr>
        <w:spacing w:after="0" w:line="71"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1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entity to which neither the Parent Guarantor nor any Subsidiary of the Parent Guarantor has any obligation to maintain or preserve such entity’s financial condition or cause such entity to achieve certain levels of operating results.</w:t>
      </w:r>
    </w:p>
    <w:p>
      <w:pPr>
        <w:spacing w:after="0" w:line="162"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Any such designation by the Board of Directors of the Parent Guarantor shall be evidenced to the Trustee by filing with the Trustee a certified copy of the resolution of the Board of Directors of the Parent Guarantor giving effect to such designation and an Officer’s Certificate certifying that such designation complied with the foregoing conditions.</w:t>
      </w:r>
    </w:p>
    <w:p>
      <w:pPr>
        <w:spacing w:after="0" w:line="176"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Facility</w:t>
      </w:r>
      <w:r>
        <w:rPr>
          <w:rFonts w:ascii="Times New Roman" w:cs="Times New Roman" w:eastAsia="Times New Roman" w:hAnsi="Times New Roman"/>
          <w:sz w:val="18"/>
          <w:szCs w:val="18"/>
          <w:color w:val="auto"/>
        </w:rPr>
        <w:t>” means that certain Fifth Amended and Restated Receivables Purchase Agreement dated as of June 22, 2020 (as the same may be further amended, restated, amended and restated, modified or supplemented from time to time) among the Issuer, as servicer, Wesco Receivables Corp., as seller, PNC Bank, National Association, as administrator and the other parties from time to time party thereto, together with all related agreements and instruments executed and delivered in connection therewith, in each case as amended, restated, amended and restated, modified, refinanced, refunded, renewed or replaced in whole or in part (including by sales of debt securities) from time to time including by or pursuant to any agreement(s) or instrument(s) (including an indenture) extending the maturity of or refinancing (including increasing the amount of available borrowings thereunder or adding any Subsidiaries of the Parent Guarantor as borrowers or guarantors thereunder) all or any portion of the Indebtedness under such agreement(s) or instrument(s) or any successor or replacement bank credit agreement(s) and whether by the same or any other agent, lender, group of lenders, purchasers, debt holders, creditor or group of creditors.</w:t>
      </w:r>
    </w:p>
    <w:p>
      <w:pPr>
        <w:spacing w:after="0" w:line="188"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Date</w:t>
      </w:r>
      <w:r>
        <w:rPr>
          <w:rFonts w:ascii="Times New Roman" w:cs="Times New Roman" w:eastAsia="Times New Roman" w:hAnsi="Times New Roman"/>
          <w:sz w:val="18"/>
          <w:szCs w:val="18"/>
          <w:color w:val="auto"/>
        </w:rPr>
        <w:t>” when used with respect to any Note to be redeemed pursuant to paragraph 5 of the Notes means the date fixed for such redemption pursuant to the terms of this Indenture and the Notes.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Registrar</w:t>
      </w:r>
      <w:r>
        <w:rPr>
          <w:rFonts w:ascii="Times New Roman" w:cs="Times New Roman" w:eastAsia="Times New Roman" w:hAnsi="Times New Roman"/>
          <w:sz w:val="18"/>
          <w:szCs w:val="18"/>
          <w:color w:val="auto"/>
        </w:rPr>
        <w:t>” has the meaning set forth in Section 2.04.</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S</w:t>
      </w:r>
      <w:r>
        <w:rPr>
          <w:rFonts w:ascii="Times New Roman" w:cs="Times New Roman" w:eastAsia="Times New Roman" w:hAnsi="Times New Roman"/>
          <w:sz w:val="18"/>
          <w:szCs w:val="18"/>
          <w:color w:val="auto"/>
        </w:rPr>
        <w:t>” means Regulation S promulgated under the Securities Act.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S Global Note</w:t>
      </w:r>
      <w:r>
        <w:rPr>
          <w:rFonts w:ascii="Times New Roman" w:cs="Times New Roman" w:eastAsia="Times New Roman" w:hAnsi="Times New Roman"/>
          <w:sz w:val="18"/>
          <w:szCs w:val="18"/>
          <w:color w:val="auto"/>
        </w:rPr>
        <w:t>” has the meaning set forth in Section 2.16(a).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S Legend</w:t>
      </w:r>
      <w:r>
        <w:rPr>
          <w:rFonts w:ascii="Times New Roman" w:cs="Times New Roman" w:eastAsia="Times New Roman" w:hAnsi="Times New Roman"/>
          <w:sz w:val="18"/>
          <w:szCs w:val="18"/>
          <w:color w:val="auto"/>
        </w:rPr>
        <w:t>” means the legend substantially in the form set forth in Exhibit 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S Notes</w:t>
      </w:r>
      <w:r>
        <w:rPr>
          <w:rFonts w:ascii="Times New Roman" w:cs="Times New Roman" w:eastAsia="Times New Roman" w:hAnsi="Times New Roman"/>
          <w:sz w:val="18"/>
          <w:szCs w:val="18"/>
          <w:color w:val="auto"/>
        </w:rPr>
        <w:t>” has the meaning set forth in Section 2.02.</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30" w:name="page31"/>
    <w:bookmarkEnd w:id="30"/>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shall mean, when used with respect to the Trustee, any officer in the Corporate Trust Department of the Trustee including any vice president, assistant vice president or any other officer of the Trustee who customarily performs functions similar to those performed by the Persons who at the time shall be such officers, respectively, in each case having direct responsibility for the administration of this Indenture, and any other officer to whom any corporate trust matter is referred because of such officer’s knowledge of and familiarity with the particular subject.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Global Note</w:t>
      </w:r>
      <w:r>
        <w:rPr>
          <w:rFonts w:ascii="Times New Roman" w:cs="Times New Roman" w:eastAsia="Times New Roman" w:hAnsi="Times New Roman"/>
          <w:sz w:val="18"/>
          <w:szCs w:val="18"/>
          <w:color w:val="auto"/>
        </w:rPr>
        <w:t>” means a Global Note that is a Restricted Note.</w:t>
      </w:r>
    </w:p>
    <w:p>
      <w:pPr>
        <w:spacing w:after="0" w:line="223" w:lineRule="exact"/>
        <w:rPr>
          <w:sz w:val="20"/>
          <w:szCs w:val="20"/>
          <w:color w:val="auto"/>
        </w:rPr>
      </w:pPr>
    </w:p>
    <w:p>
      <w:pPr>
        <w:ind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Note</w:t>
      </w:r>
      <w:r>
        <w:rPr>
          <w:rFonts w:ascii="Times New Roman" w:cs="Times New Roman" w:eastAsia="Times New Roman" w:hAnsi="Times New Roman"/>
          <w:sz w:val="18"/>
          <w:szCs w:val="18"/>
          <w:color w:val="auto"/>
        </w:rPr>
        <w:t xml:space="preserve">” has the same meaning as “restricted security” set forth in Rule 144(a)(3) promulgated under the Securities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Trustee shall be entitled to request (at the expense of the Issuer) and conclusively rely upon an Opinion of Counsel with respect to whether any Note is a Restricted Note.</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means any of the following:</w:t>
      </w:r>
    </w:p>
    <w:p>
      <w:pPr>
        <w:spacing w:after="0" w:line="117" w:lineRule="exact"/>
        <w:rPr>
          <w:sz w:val="20"/>
          <w:szCs w:val="20"/>
          <w:color w:val="auto"/>
        </w:rPr>
      </w:pPr>
    </w:p>
    <w:p>
      <w:pPr>
        <w:jc w:val="both"/>
        <w:ind w:left="440" w:right="40" w:firstLine="419"/>
        <w:spacing w:after="0" w:line="261" w:lineRule="auto"/>
        <w:tabs>
          <w:tab w:leader="none" w:pos="110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or payment of any dividend or any other distribution on Equity Interests of the Parent Guarantor or any payment made to the direct or indirect holders (in their capacities as such) of Equity Interests of the Parent Guarantor, including, without limitation, any payment in connection with any merger or consolidation involving the Parent Guarantor but excluding dividends or distributions payable solely in Qualified Equity Interests of the Parent Guarantor or through accretion or accumulation of such dividends on such Equity Interests; or</w:t>
      </w:r>
    </w:p>
    <w:p>
      <w:pPr>
        <w:spacing w:after="0" w:line="71"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1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or redemption of any Equity Interests of the Parent Guarantor, including, without limitation, any payment in connection with any merger or consolidation involving the Parent Guarantor.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Payments Basket</w:t>
      </w:r>
      <w:r>
        <w:rPr>
          <w:rFonts w:ascii="Times New Roman" w:cs="Times New Roman" w:eastAsia="Times New Roman" w:hAnsi="Times New Roman"/>
          <w:sz w:val="18"/>
          <w:szCs w:val="18"/>
          <w:color w:val="auto"/>
        </w:rPr>
        <w:t>” has the meaning set forth in Section 4.09(c).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has the meaning set forth in Section 2.17(b)(i).</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Physical Note</w:t>
      </w:r>
      <w:r>
        <w:rPr>
          <w:rFonts w:ascii="Times New Roman" w:cs="Times New Roman" w:eastAsia="Times New Roman" w:hAnsi="Times New Roman"/>
          <w:sz w:val="18"/>
          <w:szCs w:val="18"/>
          <w:color w:val="auto"/>
        </w:rPr>
        <w:t>” means a Physical Note that is a Restricted Note.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under the Securities Act.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144A</w:t>
      </w:r>
      <w:r>
        <w:rPr>
          <w:rFonts w:ascii="Times New Roman" w:cs="Times New Roman" w:eastAsia="Times New Roman" w:hAnsi="Times New Roman"/>
          <w:sz w:val="18"/>
          <w:szCs w:val="18"/>
          <w:color w:val="auto"/>
        </w:rPr>
        <w:t>” means Rule 144A promulgated under the Securities Act.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144A Global Note</w:t>
      </w:r>
      <w:r>
        <w:rPr>
          <w:rFonts w:ascii="Times New Roman" w:cs="Times New Roman" w:eastAsia="Times New Roman" w:hAnsi="Times New Roman"/>
          <w:sz w:val="18"/>
          <w:szCs w:val="18"/>
          <w:color w:val="auto"/>
        </w:rPr>
        <w:t>” has the meaning set forth in Section 2.16(a).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144A Notes</w:t>
      </w:r>
      <w:r>
        <w:rPr>
          <w:rFonts w:ascii="Times New Roman" w:cs="Times New Roman" w:eastAsia="Times New Roman" w:hAnsi="Times New Roman"/>
          <w:sz w:val="18"/>
          <w:szCs w:val="18"/>
          <w:color w:val="auto"/>
        </w:rPr>
        <w:t>” has the meaning set forth in Section 2.02.</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Ratings Group, a division of The McGraw-Hill Companies, Inc., and any successor to its rating agency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70" w:right="479" w:bottom="1440" w:gutter="0" w:footer="0" w:header="0"/>
        </w:sectPr>
      </w:pPr>
    </w:p>
    <w:bookmarkStart w:id="31" w:name="page32"/>
    <w:bookmarkEnd w:id="31"/>
    <w:p>
      <w:pPr>
        <w:ind w:left="4" w:right="4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Sale and Leaseback Transaction</w:t>
      </w:r>
      <w:r>
        <w:rPr>
          <w:rFonts w:ascii="Times New Roman" w:cs="Times New Roman" w:eastAsia="Times New Roman" w:hAnsi="Times New Roman"/>
          <w:sz w:val="18"/>
          <w:szCs w:val="18"/>
          <w:color w:val="auto"/>
        </w:rPr>
        <w:t>” means any sale or transfer made by the Parent Guarantor or one or more of its Subsidiaries (except a sale or transfer made to the Parent Guarantor or one or more of its Subsidiaries) of any Principal Facility that (in the case of a Principal Facility which is a building or equipment) has been in operation, use or commercial production (exclusive of test and start-up periods) by the Parent Guarantor or any of its Subsidiaries for more than 180 days prior to such sale or transfer, or that (in the case of a Principal Facility that is a parcel of real property not containing a building) has been owned by the Parent Guarantor or any of its Subsidiaries for more than 180 days prior to such sale or transfer, if such sale or transfer is made with the intention of leasing, or as part of an arrangement involving the lease of such Principal Facility to the Parent Guarantor or any of its Subsidiaries (except a lease for a period not exceeding 36 months made with the intention that the use of the leased Principal Facility by the Parent Guarantor or such Subsidiary will be discontinued on or before the expiration of such period). The creation of any Secured Debt permitted under Section 4.10 shall not be deemed to create or be considered a Sale and Leaseback Transaction.</w:t>
      </w:r>
    </w:p>
    <w:p>
      <w:pPr>
        <w:spacing w:after="0" w:line="188" w:lineRule="exact"/>
        <w:rPr>
          <w:sz w:val="20"/>
          <w:szCs w:val="20"/>
          <w:color w:val="auto"/>
        </w:rPr>
      </w:pPr>
    </w:p>
    <w:p>
      <w:pPr>
        <w:ind w:left="4" w:right="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Debt</w:t>
      </w:r>
      <w:r>
        <w:rPr>
          <w:rFonts w:ascii="Times New Roman" w:cs="Times New Roman" w:eastAsia="Times New Roman" w:hAnsi="Times New Roman"/>
          <w:sz w:val="18"/>
          <w:szCs w:val="18"/>
          <w:color w:val="auto"/>
        </w:rPr>
        <w:t>” means outstanding Indebtedness of the Parent Guarantor or any of its Subsidiaries which is secured by (a) a Security Interest in any property or assets of the Parent Guarantor or any of its Subsidiaries, or (b) a Security Interest in any shares of Capital Stock owned directly or indirectly by the Parent Guarantor in a Subsidiary. The securing in the foregoing manner of any previously unsecured debt shall be deemed to be the creation of Secured Debt at the time such security is given. The amount of Secured Debt at any time outstanding shall be the aggregate principal amount then owing thereon by the Parent Guarantor and its Subsidiaries.</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Interest</w:t>
      </w:r>
      <w:r>
        <w:rPr>
          <w:rFonts w:ascii="Times New Roman" w:cs="Times New Roman" w:eastAsia="Times New Roman" w:hAnsi="Times New Roman"/>
          <w:sz w:val="18"/>
          <w:szCs w:val="18"/>
          <w:color w:val="auto"/>
        </w:rPr>
        <w:t>” means any mortgage, pledge, lien, encumbrance or other security interest which secures payment or performance of an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obligation.</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Secured Leverage Ratio</w:t>
      </w:r>
      <w:r>
        <w:rPr>
          <w:rFonts w:ascii="Times New Roman" w:cs="Times New Roman" w:eastAsia="Times New Roman" w:hAnsi="Times New Roman"/>
          <w:sz w:val="18"/>
          <w:szCs w:val="18"/>
          <w:color w:val="auto"/>
        </w:rPr>
        <w:t>” means, as of the date of determination, the ratio of (a) Total Debt secured by a Security Interest to</w:t>
      </w:r>
    </w:p>
    <w:p>
      <w:pPr>
        <w:spacing w:after="0" w:line="27" w:lineRule="exact"/>
        <w:rPr>
          <w:sz w:val="20"/>
          <w:szCs w:val="20"/>
          <w:color w:val="auto"/>
        </w:rPr>
      </w:pPr>
    </w:p>
    <w:p>
      <w:pPr>
        <w:ind w:left="4" w:hanging="4"/>
        <w:spacing w:after="0" w:line="251" w:lineRule="auto"/>
        <w:tabs>
          <w:tab w:leader="none" w:pos="25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Cash Flow Available for Fixed Charges for the most recently ended four fiscal quarter period ending immediately prior to such date for which financial statements are available. In the event that the Parent Guarantor or any of its Subsidiaries incurs, redeems, retires, defeases or extinguishes any Total Debt (other than Indebtedness under a revolving credit facility unless such Indebtedness has been permanently paid and not replaced) subsequent to the commencement of the period for which the Senior Secured Leverage Ratio is being calculated but prior to or simultaneously with the event for which the calculation of the Senior Secured Leverage Ratio is made, then the Senior Secured Leverage Ratio shall be calculated giving pro forma effect to such incurrence, redemption, retirement, defeasance or extinguishment of Total Debt as if the same had occurred at the beginning of the applicable four-quarter period. Notwithstanding anything to the contrary set forth in the definition of Consolidated Cash Flow Available for Fixed Charges (and all component definitions referenced in such definitions), whenever pro forma effect is to be given to Asset Acquisition, Asset Disposition or incurrence, redemption, retirement, defeasance or extinguishment of Total Debt, the pro forma calculations shall be determined in good faith by a responsible officer of the Issuer.</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70" w:right="459" w:bottom="1440" w:gutter="0" w:footer="0" w:header="0"/>
        </w:sectPr>
      </w:pPr>
    </w:p>
    <w:bookmarkStart w:id="32" w:name="page33"/>
    <w:bookmarkEnd w:id="32"/>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Significant Subsidiary</w:t>
      </w:r>
      <w:r>
        <w:rPr>
          <w:rFonts w:ascii="Times New Roman" w:cs="Times New Roman" w:eastAsia="Times New Roman" w:hAnsi="Times New Roman"/>
          <w:sz w:val="18"/>
          <w:szCs w:val="18"/>
          <w:color w:val="auto"/>
        </w:rPr>
        <w:t>” means any Subsidiary that would be a “significant subsidiary” as defined in Article 1, Rule 1-02 of Regulation S-X, promulgated pursuant to the Securities Act, as such Regulation is in effect on the Issue Date.</w:t>
      </w:r>
    </w:p>
    <w:p>
      <w:pPr>
        <w:spacing w:after="0" w:line="162"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Standard Securitization Undertakings</w:t>
      </w:r>
      <w:r>
        <w:rPr>
          <w:rFonts w:ascii="Times New Roman" w:cs="Times New Roman" w:eastAsia="Times New Roman" w:hAnsi="Times New Roman"/>
          <w:sz w:val="18"/>
          <w:szCs w:val="18"/>
          <w:color w:val="auto"/>
        </w:rPr>
        <w:t>” means representations, warranties, covenants and indemnities entered into by the Parent Guarantor or any Subsidiary of the Parent Guarantor that, taken as a whole, are customary in an accounts receivable transaction.</w:t>
      </w:r>
    </w:p>
    <w:p>
      <w:pPr>
        <w:spacing w:after="0" w:line="162"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any Person means a corporation, association, partnership, limited liability company or other entity of which more than 50% of the outstanding Voting Stock is owned, directly or indirectly, by such Person or one or more of the other subsidiaries of such Person (or a combination thereof). For purposes of this Indenture, any reference to a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is a subsidiary of the Parent Guarantor or the Issuer, as applicable.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Guarantor</w:t>
      </w:r>
      <w:r>
        <w:rPr>
          <w:rFonts w:ascii="Times New Roman" w:cs="Times New Roman" w:eastAsia="Times New Roman" w:hAnsi="Times New Roman"/>
          <w:sz w:val="18"/>
          <w:szCs w:val="18"/>
          <w:color w:val="auto"/>
        </w:rPr>
        <w:t>” means Anixter Inc., a Delaware corporation, and its successors.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Terminated Covenants</w:t>
      </w:r>
      <w:r>
        <w:rPr>
          <w:rFonts w:ascii="Times New Roman" w:cs="Times New Roman" w:eastAsia="Times New Roman" w:hAnsi="Times New Roman"/>
          <w:sz w:val="18"/>
          <w:szCs w:val="18"/>
          <w:color w:val="auto"/>
        </w:rPr>
        <w:t>” has the meaning set forth in Section 4.15(a).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 Claim</w:t>
      </w:r>
      <w:r>
        <w:rPr>
          <w:rFonts w:ascii="Times New Roman" w:cs="Times New Roman" w:eastAsia="Times New Roman" w:hAnsi="Times New Roman"/>
          <w:sz w:val="18"/>
          <w:szCs w:val="18"/>
          <w:color w:val="auto"/>
        </w:rPr>
        <w:t>” has the meaning set forth in Section 7.07.</w:t>
      </w:r>
    </w:p>
    <w:p>
      <w:pPr>
        <w:spacing w:after="0" w:line="225"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“TIA</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Trust Indenture Act</w:t>
      </w:r>
      <w:r>
        <w:rPr>
          <w:rFonts w:ascii="Times New Roman" w:cs="Times New Roman" w:eastAsia="Times New Roman" w:hAnsi="Times New Roman"/>
          <w:sz w:val="18"/>
          <w:szCs w:val="18"/>
          <w:color w:val="auto"/>
        </w:rPr>
        <w:t>” means the Trust Indenture Act of 1939, as amended (15 U.S. Code §§ 77aaa-77bbbb) as in effect on the date of this Indenture (except as amended to the extent required by law).</w:t>
      </w:r>
    </w:p>
    <w:p>
      <w:pPr>
        <w:spacing w:after="0" w:line="162"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Debt</w:t>
      </w:r>
      <w:r>
        <w:rPr>
          <w:rFonts w:ascii="Times New Roman" w:cs="Times New Roman" w:eastAsia="Times New Roman" w:hAnsi="Times New Roman"/>
          <w:sz w:val="18"/>
          <w:szCs w:val="18"/>
          <w:color w:val="auto"/>
        </w:rPr>
        <w:t>” means, at any date of determination, the aggregate amount of all outstanding Indebtedness of the Parent Guarantor and its Subsidiaries determined on a consolidated basis in accordance with GAAP. Notwithstanding the foregoing, for purposes of Section 4.10, a binding commitment to lend under a revolving credit facility shall be deemed to be an incurrence of Indebtedness in the full amount of such commitment on the date that such commitment is entered into, regardless of whether the full amount of such revolving credit facility is actually borrowed, and thereafter the amount of such commitment shall be deemed fully borrowed at all times.</w:t>
      </w:r>
    </w:p>
    <w:p>
      <w:pPr>
        <w:spacing w:after="0" w:line="183"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Leverage Ratio</w:t>
      </w:r>
      <w:r>
        <w:rPr>
          <w:rFonts w:ascii="Times New Roman" w:cs="Times New Roman" w:eastAsia="Times New Roman" w:hAnsi="Times New Roman"/>
          <w:sz w:val="18"/>
          <w:szCs w:val="18"/>
          <w:color w:val="auto"/>
        </w:rPr>
        <w:t>” means, as of the date of determination, the ratio of (a) Total Debt to (b) Consolidated Cash Flow Available for Fixed Charges for the most recently ended four fiscal quarter period ending immediately prior to such date for which financial statements are available. In the event that the Parent Guarantor or any Subsidiary incurs, redeems, retires, defeases or extinguishes any Total Debt (other than Indebtedness under a revolving credit facility unless such Indebtedness has been permanently paid and not replaced) subsequent to the commencement of the period for which the Total Leverage Ratio is being calculated but prior to or simultaneously with the event for which the calculation of the Total Leverage Ratio is made, then the Total Leverage Ratio shall be calculated giving pro forma effect to such incurrence, redemption, retirement, defeasance or extinguishment of Total Debt as if the same had occurred at the beginning of the applicable four-quarter period. Notwithstanding anything to the contrary set forth in the definition of Consolidated Cash Flow Available for Fixed Charges (and all component definitions referenced in such definitions), whenever pro forma effect is to be given to Asset Acquisition, Asset Disposition or incurrence, redemption, retirement, defeasance or extinguishment of Total Debt, the pro forma calculations shall be determined in good faith by a responsible officer of the Issuer.</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0"/>
          </w:cols>
          <w:pgMar w:left="440" w:top="270" w:right="439" w:bottom="1440" w:gutter="0" w:footer="0" w:header="0"/>
        </w:sectPr>
      </w:pPr>
    </w:p>
    <w:bookmarkStart w:id="33" w:name="page34"/>
    <w:bookmarkEnd w:id="33"/>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to sell, assign, transfer, lease (other than pursuant to an operating lease entered into in the ordinary course of business), convey or otherwise dispose of, including by a Sale and Leaseback Transaction, consolidation, merger, liquidation, dissolution or otherwise, in one transaction or a series of transactions.</w:t>
      </w:r>
    </w:p>
    <w:p>
      <w:pPr>
        <w:spacing w:after="0" w:line="176" w:lineRule="exact"/>
        <w:rPr>
          <w:sz w:val="20"/>
          <w:szCs w:val="20"/>
          <w:color w:val="auto"/>
        </w:rPr>
      </w:pPr>
    </w:p>
    <w:p>
      <w:pPr>
        <w:ind w:right="5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Management Arrangement</w:t>
      </w:r>
      <w:r>
        <w:rPr>
          <w:rFonts w:ascii="Times New Roman" w:cs="Times New Roman" w:eastAsia="Times New Roman" w:hAnsi="Times New Roman"/>
          <w:sz w:val="18"/>
          <w:szCs w:val="18"/>
          <w:color w:val="auto"/>
        </w:rPr>
        <w:t>” means any agreement or other arrangement governing the provision of treasury or cash management services, including deposit accounts, overdraft, credit or debit card, funds transfer, automated clearinghouse, zero balance accounts, returned check concentration, controlled disbursement, lockbox, account reconciliation and reporting and trade finance services and other cash management services.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means the party named as such in this Indenture until a successor replaces it pursuant to this Indenture and thereafter means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successor.</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Global Note</w:t>
      </w:r>
      <w:r>
        <w:rPr>
          <w:rFonts w:ascii="Times New Roman" w:cs="Times New Roman" w:eastAsia="Times New Roman" w:hAnsi="Times New Roman"/>
          <w:sz w:val="18"/>
          <w:szCs w:val="18"/>
          <w:color w:val="auto"/>
        </w:rPr>
        <w:t>” means a Global Note that is not a Restricted Note.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Physical Note</w:t>
      </w:r>
      <w:r>
        <w:rPr>
          <w:rFonts w:ascii="Times New Roman" w:cs="Times New Roman" w:eastAsia="Times New Roman" w:hAnsi="Times New Roman"/>
          <w:sz w:val="18"/>
          <w:szCs w:val="18"/>
          <w:color w:val="auto"/>
        </w:rPr>
        <w:t>” means a Physical Note that is not a Restricted Note.</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Obligations</w:t>
      </w:r>
      <w:r>
        <w:rPr>
          <w:rFonts w:ascii="Times New Roman" w:cs="Times New Roman" w:eastAsia="Times New Roman" w:hAnsi="Times New Roman"/>
          <w:sz w:val="18"/>
          <w:szCs w:val="18"/>
          <w:color w:val="auto"/>
        </w:rPr>
        <w:t>” means marketable direct obligations issued by, or unconditionally guaranteed as to full and timely payment by, the United States Government or issued by any agency or instrumentality thereof and backed by the full faith and credit of the United States of America that, in each case, mature within one year from the date of acquisition thereof and are not callable or redeemable at the option of the issuer thereof.</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 “U.S. person” as defined in Rule 902(k) under the Securities Act.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Usage Date</w:t>
      </w:r>
      <w:r>
        <w:rPr>
          <w:rFonts w:ascii="Times New Roman" w:cs="Times New Roman" w:eastAsia="Times New Roman" w:hAnsi="Times New Roman"/>
          <w:sz w:val="18"/>
          <w:szCs w:val="18"/>
          <w:color w:val="auto"/>
        </w:rPr>
        <w:t>” has the meaning set forth in Section 4.11.</w:t>
      </w:r>
    </w:p>
    <w:p>
      <w:pPr>
        <w:spacing w:after="0" w:line="225" w:lineRule="exact"/>
        <w:rPr>
          <w:sz w:val="20"/>
          <w:szCs w:val="20"/>
          <w:color w:val="auto"/>
        </w:rPr>
      </w:pPr>
    </w:p>
    <w:p>
      <w:pPr>
        <w:jc w:val="both"/>
        <w:ind w:right="2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any class or classes of Capital Stock pursuant to which the holders thereof have power to vote in the election of directors, managers or trustees of any Person (irrespective of whether or not, at the time, stock of any other class or classes shall have, or might have, voting power by reason of the happening of any contingency).</w:t>
      </w:r>
    </w:p>
    <w:p>
      <w:pPr>
        <w:spacing w:after="0" w:line="176"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 Owned Subsidiary</w:t>
      </w:r>
      <w:r>
        <w:rPr>
          <w:rFonts w:ascii="Times New Roman" w:cs="Times New Roman" w:eastAsia="Times New Roman" w:hAnsi="Times New Roman"/>
          <w:sz w:val="18"/>
          <w:szCs w:val="18"/>
          <w:color w:val="auto"/>
        </w:rPr>
        <w:t>” of any Person means a subsidiary of such Person all of the outstanding Capital Stock or other ownership interests of which (other than directors’ qualifying shares) shall at the time be owned by such Person or by one or more Wholly Owned Subsidiaries of such Person or by such Person and one or more Wholly Owned Subsidiaries of such Person.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1.02. </w:t>
      </w:r>
      <w:r>
        <w:rPr>
          <w:rFonts w:ascii="Times New Roman" w:cs="Times New Roman" w:eastAsia="Times New Roman" w:hAnsi="Times New Roman"/>
          <w:sz w:val="18"/>
          <w:szCs w:val="18"/>
          <w:u w:val="single" w:color="auto"/>
          <w:color w:val="auto"/>
        </w:rPr>
        <w:t>No Incorporation by Reference of Trust Indenture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This Indenture is not qualified under the TIA, and the TIA shall not apply to or in any way govern the terms of this Indenture. As a result, no provisions of the TIA are incorporated into this Indenture unless expressly incorporated pursuant to this Indenture.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Unless the context otherwise requires:</w:t>
      </w:r>
    </w:p>
    <w:p>
      <w:pPr>
        <w:spacing w:after="0" w:line="117" w:lineRule="exact"/>
        <w:rPr>
          <w:sz w:val="20"/>
          <w:szCs w:val="20"/>
          <w:color w:val="auto"/>
        </w:rPr>
      </w:pPr>
    </w:p>
    <w:p>
      <w:pPr>
        <w:ind w:left="1120" w:hanging="261"/>
        <w:spacing w:after="0"/>
        <w:tabs>
          <w:tab w:leader="none" w:pos="1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has the meaning assigned to it herein, whether defined expressly or by reference;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is not exclusive;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in the plural include the singular;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used herein implying any gender shall apply to both genders;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“herein,” “hereof” and other words of similar import refer to this Indenture as a whole and not to any particular Article, Section or other</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w:t>
      </w:r>
    </w:p>
    <w:p>
      <w:pPr>
        <w:spacing w:after="0" w:line="98"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1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herein, all accounting terms used herein shall be interpreted, all accounting determinations hereunder shall be made, and all financial statements required to be delivered hereunder shall be prepared in accordance with GAAP;</w:t>
      </w:r>
    </w:p>
    <w:p>
      <w:pPr>
        <w:spacing w:after="0" w:line="53" w:lineRule="exact"/>
        <w:rPr>
          <w:rFonts w:ascii="Times New Roman" w:cs="Times New Roman" w:eastAsia="Times New Roman" w:hAnsi="Times New Roman"/>
          <w:sz w:val="18"/>
          <w:szCs w:val="18"/>
          <w:color w:val="auto"/>
        </w:rPr>
      </w:pPr>
    </w:p>
    <w:p>
      <w:pPr>
        <w:ind w:left="440" w:right="540" w:firstLine="419"/>
        <w:spacing w:after="0" w:line="282" w:lineRule="auto"/>
        <w:tabs>
          <w:tab w:leader="none" w:pos="111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and “U.S. Dollars” each refer to United States dollars, or such other money of the United States of America that at the time of payment is legal tender for payment of public and private debts;</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shall be interpreted to express a command; and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means including without limitation.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TWO</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Amount of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The Trustee shall initially authenticate the Initial Notes for original issue on the Issue Date upon a written order of the Issuer signed by one Officer, together with an Officer’s Certificate of the Issuer. The Trustee shall authenticate Additional Notes thereafter in unlimited amount for original issue upon a written order of the Issuer in the form of an Officer’s Certificate in aggregate principal amount as specified in such order. The Trustee shall also authenticate (i)</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35" w:name="page36"/>
    <w:bookmarkEnd w:id="35"/>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replacement Notes as provided in Section 2.08, (ii) temporary Notes as provided in Section 2.11, (iii) Notes issued in connection with certain transfers and exchanges as provided in Sections 2.07, 2.16 and 2.17, (iv) Notes issued in connection with a partial redemption of the Notes as provided in Section 3.06 or a partial repurchase of a Note as provided in Section 4.07 and (v) Notes exchanged as provided in Section 8.04, in each case upon a written order of the Issuer in the form of an Officer’s Certificate in aggregate principal amount as specified in such order. Each such written order shall specify the principal amount of Notes to be authenticated and the date on which the Notes are to be authenticated.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Form and Dating; Legends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The Notes and the Trustee’s certificate of authentication with respect thereto shall be substantially in the form set forth in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(in the case of the 5-Year Notes) and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(in the case of the 8-Year Notes), each of which is incorporated in and forms a part of this Indenture. Each Note shall be dated the date of its authentication.</w:t>
      </w:r>
    </w:p>
    <w:p>
      <w:pPr>
        <w:spacing w:after="0" w:line="176"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The Notes may have notations, legends or endorsements required by law, rule or usage to which the Issuer is subject. Without limiting the generality of the foregoing, Notes offered and sold to Qualified Institutional Buyers in reliance on Rule 144A (“</w:t>
      </w:r>
      <w:r>
        <w:rPr>
          <w:rFonts w:ascii="Times New Roman" w:cs="Times New Roman" w:eastAsia="Times New Roman" w:hAnsi="Times New Roman"/>
          <w:sz w:val="18"/>
          <w:szCs w:val="18"/>
          <w:u w:val="single" w:color="auto"/>
          <w:color w:val="auto"/>
        </w:rPr>
        <w:t>Rule 144A Notes</w:t>
      </w:r>
      <w:r>
        <w:rPr>
          <w:rFonts w:ascii="Times New Roman" w:cs="Times New Roman" w:eastAsia="Times New Roman" w:hAnsi="Times New Roman"/>
          <w:sz w:val="18"/>
          <w:szCs w:val="18"/>
          <w:color w:val="auto"/>
        </w:rPr>
        <w:t>”), Notes offered and sold in offshore transactions in reliance on Regulation S (“</w:t>
      </w:r>
      <w:r>
        <w:rPr>
          <w:rFonts w:ascii="Times New Roman" w:cs="Times New Roman" w:eastAsia="Times New Roman" w:hAnsi="Times New Roman"/>
          <w:sz w:val="18"/>
          <w:szCs w:val="18"/>
          <w:u w:val="single" w:color="auto"/>
          <w:color w:val="auto"/>
        </w:rPr>
        <w:t>Regulation S Notes</w:t>
      </w:r>
      <w:r>
        <w:rPr>
          <w:rFonts w:ascii="Times New Roman" w:cs="Times New Roman" w:eastAsia="Times New Roman" w:hAnsi="Times New Roman"/>
          <w:sz w:val="18"/>
          <w:szCs w:val="18"/>
          <w:color w:val="auto"/>
        </w:rPr>
        <w:t>”) and all other Restricted Notes shall bear the Private Placement Legend. All Global Notes shall bear the Global Note Legend. Regulation S Notes shall bear the Regulation S Legend.</w:t>
      </w:r>
    </w:p>
    <w:p>
      <w:pPr>
        <w:spacing w:after="0" w:line="180"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The terms and provisions contained in the Notes shall constitute, and are expressly made, a part of this Indenture and, to the extent applicable, the Issuer, the Guarantors and the Trustee, by their execution and delivery of this Indenture, expressly agree to such terms and provisions and agree to be bound thereby. If there is a conflict between the terms of the Notes and this Indenture, the terms of this Indenture shall govern.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Notes may be presented for registration of transfer and exchange at the offices of the Registrar.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Execution and Authentication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The Notes shall be executed on behalf of the Issuer by an Officer of the Issuer. The signature of any of these Officers on the Notes may be manual or facsimile.</w:t>
      </w:r>
    </w:p>
    <w:p>
      <w:pPr>
        <w:spacing w:after="0" w:line="162"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If an Officer whose signature is on a Note was an Officer at the time of such execution but no longer holds that office at the time the Trustee authenticates the Note, the Note shall be valid nevertheless.</w:t>
      </w:r>
    </w:p>
    <w:p>
      <w:pPr>
        <w:spacing w:after="0" w:line="162"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No Note shall be entitled to any benefit under this Indenture or be valid or obligatory for any purpose unless there appears on such Note a certificate of authentication substantially in the form provided for herein executed by the Trustee by manual signature, and such certificate upon any Note shall be conclusive evidence, and the only evidence, that such Note has been duly authenticated and delivered hereunder. Notwithstanding the foregoing, if</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0"/>
          </w:cols>
          <w:pgMar w:left="440" w:top="270" w:right="479" w:bottom="1440" w:gutter="0" w:footer="0" w:header="0"/>
        </w:sectPr>
      </w:pPr>
    </w:p>
    <w:bookmarkStart w:id="36" w:name="page37"/>
    <w:bookmarkEnd w:id="36"/>
    <w:p>
      <w:pPr>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Note shall have been authenticated and delivered hereunder but never issued and sold by the Issuer, and the Issuer shall deliver such Note to the Trustee for cancellation as provided in Section 2.12, for all purposes of this Indenture such Note shall be deemed never to have been authenticated and delivered hereunder and shall never be entitled to the benefits of this Indenture.</w:t>
      </w:r>
    </w:p>
    <w:p>
      <w:pPr>
        <w:spacing w:after="0" w:line="176"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The Trustee may appoint one or more authenticating agents reasonably acceptable to the Issuer to authenticate the Notes. Unless otherwise provided in the appointment, an authenticating agent may authenticate the Notes whenever the Trustee may do so. Each reference in this Indenture to authentication by the Trustee includes authentication by such agent. An authenticating agent has the same rights as an Agent to deal with the Issuer and Affiliates of the Issuer. Each Paying Agent is designated as an authenticating agent for purposes of this Indenture.</w:t>
      </w:r>
    </w:p>
    <w:p>
      <w:pPr>
        <w:spacing w:after="0" w:line="180"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Each series of Notes shall be issuable only in registered form without coupons in denominations of $2,000 and integral multiples of $1,000 in excess of $2,000.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Registrar and Paying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Issuer shall maintain (a) an office or agency where Notes may be presented for registration of transfer or for exchange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Registrar</w:t>
      </w:r>
      <w:r>
        <w:rPr>
          <w:rFonts w:ascii="Times New Roman" w:cs="Times New Roman" w:eastAsia="Times New Roman" w:hAnsi="Times New Roman"/>
          <w:sz w:val="18"/>
          <w:szCs w:val="18"/>
          <w:color w:val="auto"/>
        </w:rPr>
        <w:t>”), (b) an office or agency in the city in the United States in which the Trustee’s Corporate Trust Office is located, where Notes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for payment (the “</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and (c) an office or agency where notices and demands to or upon the Issuer, if any, in respect of the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this Indenture may be served. The Registrar shall keep a register of the Notes and of their transfer and exchange. The Registrar shall provide a copy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register from time to time upon request of the Issuer. The Issuer may appoint one or more co-registrars and one or more additional Paying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Agents. The term “Registrar” includes any co-registrars. The term “Paying Agents” means the Paying Agent and any additional Paying Agents.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 or any Affiliate thereof may act as Registrar or a Paying Agent.</w:t>
      </w:r>
    </w:p>
    <w:p>
      <w:pPr>
        <w:spacing w:after="0" w:line="20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The Issuer shall enter into an appropriate agency agreement with any Agent that is not a party to this Indenture. The agreement shall implement the provisions of this Indenture that relate to such Agent. The Issuer shall notify the Trustee of the name and address of any such Agent. If the Issuer fails to maintain a Registrar or any required co-registrar or Paying Agent, or fails to give the foregoing notice, the Trustee shall act as such and shall be entitled to appropriate compensation in accordance with Section 7.07.</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Issuer initially appoints the Trustee as Registrar, Paying Agent and Depositary Custodian.</w:t>
      </w:r>
    </w:p>
    <w:p>
      <w:pPr>
        <w:spacing w:after="0" w:line="225"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The Issuer initially appoints The Depository Trust Company to act as Depositary with respect to the Global Notes. The Issuer may change the Depositary at any time without notice to any Holder, but the Issuer will notify the Trustee of the name and address of any new Depositary.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37" w:name="page38"/>
    <w:bookmarkEnd w:id="37"/>
    <w:p>
      <w:pPr>
        <w:ind w:right="26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Issuer shall be responsible for making calculations called for under the Notes, including but not limited to determination of redemption price, premium, if any, and any additional amounts or other amounts payable on the Notes. The Issuer will make the calculations in good faith and, absent manifest error, its calculations will be final and binding on the Holders. The Issuer will provide a schedule of its calculations to the Trustee when reasonably requested by the Trustee, and the Trustee is entitled to rely conclusively on the accuracy of the Issuer’s calculations without independent verification. The Trustee shall forward the Issuer’s calculations referred to above in this paragraph to any Holder of the Notes upon the written request of such Holder.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Paying Agent To Hold Money in Trust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The Paying Agent shall hold in trust for the benefit of the Noteholders or the Trustee all money held by the Paying Agent for the payment of principal of or premium or interest on the Notes (whether such money has been paid to it by the Issuer, one or more of the Guarantors or any other obligor on the Notes), and the Issuer and the Paying Agent shall notify the Trustee of any default by the Issuer (or any other obligor on the Notes) in making any such payment. Money held in trust by a Paying Agent need not be segregated except as required by law and in no event shall a Paying Agent be liable for any interest on any money received by it hereunder. The Issuer at any time may require a Paying Agent to pay all money held by it to the Trustee and account for any funds disbursed and the Trustee may at any time during the continuance of any Event of Default specified in</w:t>
      </w:r>
    </w:p>
    <w:p>
      <w:pPr>
        <w:spacing w:after="0" w:line="5" w:lineRule="exact"/>
        <w:rPr>
          <w:sz w:val="20"/>
          <w:szCs w:val="20"/>
          <w:color w:val="auto"/>
        </w:rPr>
      </w:pPr>
    </w:p>
    <w:p>
      <w:pPr>
        <w:jc w:val="both"/>
        <w:ind w:right="120"/>
        <w:spacing w:after="0" w:line="290" w:lineRule="auto"/>
        <w:rPr>
          <w:sz w:val="20"/>
          <w:szCs w:val="20"/>
          <w:color w:val="auto"/>
        </w:rPr>
      </w:pPr>
      <w:r>
        <w:rPr>
          <w:rFonts w:ascii="Times New Roman" w:cs="Times New Roman" w:eastAsia="Times New Roman" w:hAnsi="Times New Roman"/>
          <w:sz w:val="17"/>
          <w:szCs w:val="17"/>
          <w:color w:val="auto"/>
        </w:rPr>
        <w:t>Section 6.01(1) or (2), upon written request to a Paying Agent, require such Paying Agent to pay forthwith all money so held by it to the Trustee and to account for any funds disbursed. Upon making such payment, such Paying Agent shall have no further liability for the money delivered to the Trustee.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Noteholder Lists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The Trustee shall preserve in as current a form as is reasonably practicable the most recent list available to it of the names and addresses of the Noteholders. If the Trustee is not the Registrar, the Issuer shall furnish to the Trustee at least five Business Days before each Interest Payment Date, and at such other times as the Trustee may request in writing, a list in such form and as of such date as the Trustee may reasonably require of the names and addresses of the Noteholders.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Transfer and 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Subject to Sections 2.16 and 2.17, when Notes are presented to the Registrar with a request from the Holder of such Notes to register a transfer or to exchange them for an equal principal amount of Notes of other authorized denominations, the Registrar shall register the transfer as requested. Every Note presented or surrendered for registration of transfer or exchange shall be duly endorsed or be accompanied by a written instrument of transfer in form satisfactory to the Issuer and the Registrar, duly executed by the Holder thereof or his attorneys duly authorized in writing. To permit registrations of transfers and exchanges, the Issuer shall issue and execute and, upon receipt of a written order of the Issuer in the form of an Officer’s Certificate in accordance with Section 2.01, the Trustee shall authenticate new Notes (and the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38" w:name="page39"/>
    <w:bookmarkEnd w:id="38"/>
    <w:p>
      <w:pPr>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Guarantors shall execute the Guarantees thereon) evidencing such transfer or exchange at the Registrar’s request. No service charge shall be made to the Noteholder for any registration of transfer or exchange. The Issuer or the Trustee may require from the Noteholder payment of a sum sufficient to cover any transfer taxes or other governmental charge that may be imposed in relation to a transfer or exchange, but this provision shall not apply to any exchange pursuant to Section 2.11, 3.06, 3.07, 4.07 or 8.04 (in which events the Issuer shall be responsible for the payment of such taxes). The Registrar shall not be required to exchange or register a transfer of any Note for a period of 15 days immediately preceding the mailing of notice of redemption of Notes to be redeemed or of any Note selected, called or being called for redemption except the unredeemed portion of any Note being redeemed in part.</w:t>
      </w:r>
    </w:p>
    <w:p>
      <w:pPr>
        <w:spacing w:after="0" w:line="173"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Any Holder of a Global Note shall, by acceptance of such Global Note, agree that transfers of the beneficial interests in such Global Note may be effected only through a book-entry system maintained by the Holder of such Global Note (or its agent), and that ownership of a beneficial interest in the Global Note shall be required to be reflected in a book entry. By its acceptance of any Note bearing the Private Placement Legend, each Holder of such Note acknowledges the restrictions on transfer of such Note set forth in this Indenture and in the Private Placement Legend and agrees that it will transfer such Note only as provided in this Indenture.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Replacement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If a mutilated Note is surrendered to the Registrar or the Trustee, or if the Holder of a Note claims that the Note has been lost, destroyed or wrongfully taken, the Issuer shall issue and, upon receipt of a written order of the Issuer in the form of an Officer’s Certificate in accordance with Section 2.01, the Trustee shall authenticate a replacement Note (and the Guarantors shall execute the Guarantees thereon) if the Holder of such Note furnishes to the Issuer and the Trustee evidence reasonably acceptable to them of the ownership and the destruction, loss or theft of such Note and if the requirements of Section 8-405 of the New York Uniform Commercial Code as in effect on the date of this Indenture are met. If required by the Trustee or the Issuer, an indemnity bond shall be posted, sufficient in the judgment of all to protect the Issuer, the Guarantors, the Trustee, the Registrar and any Paying Agent from any loss that any of them may suffer if such Note is replaced. The Issuer may charge such Holder for the Issuer’s reasonable out-of-pocket expenses in replacing such Note and the Trustee may charge the Issuer for the Trustee’s reasonable out-of-pocket expenses (including, without limitation, attorneys’ fees and disbursements) in replacing such Note and may require the payment of a sum sufficient to cover any tax, assessment, fee or other charge that may be imposed in relation thereto and any other expenses (including the reasonable out-of-pocket fees and expenses of the Trustee) connected therewith. Every replacement Note shall constitute a contractual obligation of the Issuer. The provisions of this Section 2.08 are exclusive and will preclude (to the extent lawful) all other rights and remedies with respect to the replacement or payment of lost, destroyed, mutilated or wrongfully taken Notes.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40" w:top="270"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2.09. </w:t>
      </w:r>
      <w:r>
        <w:rPr>
          <w:rFonts w:ascii="Times New Roman" w:cs="Times New Roman" w:eastAsia="Times New Roman" w:hAnsi="Times New Roman"/>
          <w:sz w:val="18"/>
          <w:szCs w:val="18"/>
          <w:u w:val="single" w:color="auto"/>
          <w:color w:val="auto"/>
        </w:rPr>
        <w:t>Outstanding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The Notes outstanding at any time are all Notes that have been authenticated by the Trustee except for (a) those canceled by or on behalf of the Trustee, (b) those accepted by the Trustee for cancellation, (c) to the extent set forth in Sections 9.01 and 9.02, on or after the date on which the conditions set forth in Section 9.01 or 9.02 have been satisfied, those Notes theretofore authenticated by the Trustee hereunder and (d) those described in this Section 2.09 as not outstanding. Subject to Section 2.10, a Note does not cease to be outstanding because the Issuer or one of its Affiliates holds the Note.</w:t>
      </w:r>
    </w:p>
    <w:p>
      <w:pPr>
        <w:spacing w:after="0" w:line="183"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If a Note is replaced pursuant to Section 2.08, it ceases to be outstanding unless the Trustee receives proof satisfactory to the Issuer that the replaced Note is held by a bona fide purchaser in whose hands such Note is a legal, valid and binding obligation of the Issuer.</w:t>
      </w:r>
    </w:p>
    <w:p>
      <w:pPr>
        <w:spacing w:after="0" w:line="162" w:lineRule="exact"/>
        <w:rPr>
          <w:sz w:val="20"/>
          <w:szCs w:val="20"/>
          <w:color w:val="auto"/>
        </w:rPr>
      </w:pPr>
    </w:p>
    <w:p>
      <w:pPr>
        <w:jc w:val="both"/>
        <w:ind w:right="60" w:firstLine="991"/>
        <w:spacing w:after="0" w:line="312" w:lineRule="auto"/>
        <w:rPr>
          <w:sz w:val="20"/>
          <w:szCs w:val="20"/>
          <w:color w:val="auto"/>
        </w:rPr>
      </w:pPr>
      <w:r>
        <w:rPr>
          <w:rFonts w:ascii="Times New Roman" w:cs="Times New Roman" w:eastAsia="Times New Roman" w:hAnsi="Times New Roman"/>
          <w:sz w:val="17"/>
          <w:szCs w:val="17"/>
          <w:color w:val="auto"/>
        </w:rPr>
        <w:t>If a Paying Agent holds, in its capacity as such, on any Maturity Date, U.S. Dollars sufficient to pay all accrued interest and principal with respect to the Notes payable on that date, then on and after that date such Notes shall cease to be outstanding and interest on them shall cease to accrue.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Treasury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In determining whether the Holders of the required principal amount of Notes have concurred in any declaration of acceleration or notice of default or direction, waiver or consent or any amendment, modification or other change to this Indenture, Notes owned by the Issuer or any other Affiliate of the Issuer shall be disregarded as though they were not outstanding, except that for the purposes of determining whether the Trustee shall be protected in relying on any such direction, waiver or consent or any amendment, modification or other change to this Indenture, only Notes as to which a Responsible Officer of the Trustee has actually received an Officer’s Certificate stating that such Notes are so owned shall be so disregarded. Notes so owned which have been pledged in good faith shall not be disregarded if the pledgee established to the satisfaction of the Trustee the pledgee’s right so to act with respect to the Notes and that the pledgee is not the Issuer, a Guarantor, any other obligor on the Notes or any of their respective Affiliates.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Temporary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Until definitive Notes are prepared and ready for delivery, the Issuer may prepare and, upon receipt of a written order of the Issuer in the form of an Officer’s Certificate in accordance with Section 2.01, the Trustee shall authenticate temporary Notes. Temporary Notes shall be substantially in the form of definitive Notes but may have variations that the Issuer considers appropriate for temporary Notes. Without unreasonable delay, the Issuer shall prepare and, upon receipt of a written order of the Issuer in the form of an Officer’s Certificate in accordance with Section 2.01, the Trustee shall authenticate definitive Notes in exchange for temporary Notes. Until such exchange, temporary Notes shall be entitled to the same rights, benefits and privileges as definitive Notes.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2.12. </w:t>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81" w:lineRule="auto"/>
        <w:rPr>
          <w:sz w:val="20"/>
          <w:szCs w:val="20"/>
          <w:color w:val="auto"/>
        </w:rPr>
      </w:pPr>
      <w:r>
        <w:rPr>
          <w:rFonts w:ascii="Times New Roman" w:cs="Times New Roman" w:eastAsia="Times New Roman" w:hAnsi="Times New Roman"/>
          <w:sz w:val="17"/>
          <w:szCs w:val="17"/>
          <w:color w:val="auto"/>
        </w:rPr>
        <w:t>The Issuer at any time may deliver Notes to the Trustee for cancellation. The Registrar and the Paying Agent shall forward to the Trustee any Notes surrendered to them for registration of transfer, exchange or payment. The Trustee shall cancel all Notes surrendered for registration of transfer, exchange, payment, replacement or cancellation and shall dispose of such canceled Notes in its customary manner. The Issuer may not reissue or resell or issue new Notes to replace Notes that the Issuer has redeemed or paid, or that have been delivered to the Trustee for cancellation.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Defaulted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If the Issuer defaults on a payment of interest on the Notes, the Issuer shall pay the defaulted interest then borne by the Notes plus (to the extent permitted by law) any interest payable on the defaulted interest, in accordance with the terms hereof, to the Persons who are Holders thereof on a subsequent special record date, which date shall be at least five Business Days prior to the payment date. If such default continues for thirty (30) days, the Issuer shall fix such special record date and payment date in a manner satisfactory to the Trustee. At least 10 days before such special record date, the Issuer (or upon the written request of the Issuer, the Trustee, in the name and at the expense of the Issuer) shall mail to each affected Noteholder a notice that states the special record date, the payment date and the amount of defaulted interest, and interest payable on defaulted interest, if any, to be paid. The Issuer may make payment of any defaulted interest in any other lawful manner not inconsistent with the requirements (if applicable) of any securities exchange on which the Notes may be listed and, upon such notice as may be required by such exchange, if, after written notice given by the Issuer to the Trustee of the proposed payment pursuant to this sentence, such manner of payment shall be deemed practicable by the Trustee. If the Issuer elects for the Trustee to send such notice to the Holders then the Issuer shall provide such notice to the Trustee at least five (5) days (or such shorter time as may be agreed by the Trustee in its discretion) before such notice is required to be mailed to the Holders.</w:t>
      </w:r>
    </w:p>
    <w:p>
      <w:pPr>
        <w:spacing w:after="0" w:line="192"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Notwithstanding the foregoing, any interest which is paid prior to the expiration of the 30-day period set forth in Section 6.01(1) shall be paid to Holders as of the record date for the Interest Payment Date for which interest has not been paid.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CUSIP and ISIN Numbers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The Issuer in issuing the Notes may use “CUSIP” and “ISIN” numbers, and if so used, such CUSIP and ISIN numbers shall be included in notices as a convenience to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notice may state that no representation is made as to the correctness or accuracy of the CUSIP or ISIN numbers printed in the notice or on the Notes, that reliance may be placed only on the other identification numbers printed on the Notes, and any such notice shall not be affected by any defect in or omission of such CUSIP or ISIN numbers. The Issuer shall promptly notify the Trustee, in writing, of any such CUSIP or ISIN number used by the Issuer in connection with the issuance of the Notes and of any change in any such CUSIP or ISIN number.</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60"/>
          </w:cols>
          <w:pgMar w:left="440" w:top="270" w:right="4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2.15. </w:t>
      </w:r>
      <w:r>
        <w:rPr>
          <w:rFonts w:ascii="Times New Roman" w:cs="Times New Roman" w:eastAsia="Times New Roman" w:hAnsi="Times New Roman"/>
          <w:sz w:val="18"/>
          <w:szCs w:val="18"/>
          <w:u w:val="single" w:color="auto"/>
          <w:color w:val="auto"/>
        </w:rPr>
        <w:t>Deposit of Moneys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Prior to 10:00 A.M., New York City time, on each Interest Payment Date and Maturity Date, the Issuer shall have deposited with the Paying Agent in immediately available funds U.S. Dollars sufficient to make cash payments, if any, due on such Interest Payment Date or Maturity Date, as the case may be, in a timely manner which permits such Paying Agents to remit payment to the Holders on such Interest Payment Date or Maturity Date, as the case may be. The principal and interest on Global Notes shall be payable to the Depositary or its nominee, as the case may be, as the sole registered owner and the sole Holder of the Global Notes represented thereby. The principal and interest on Physical Notes shall be payable, either in person, by wire transfer or by mail, at the office of the Paying Agent. Final payment of principal at maturity will only be made by the Trustee upon surrender of the related Note to the Trustee at its Corporate Trust Office.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Book-Entry Provisions for Global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6" w:lineRule="auto"/>
        <w:tabs>
          <w:tab w:leader="none" w:pos="12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144A Notes initially shall be represented by one or more Notes in registered, global form without interest coupons (collectively, the “</w:t>
      </w:r>
      <w:r>
        <w:rPr>
          <w:rFonts w:ascii="Times New Roman" w:cs="Times New Roman" w:eastAsia="Times New Roman" w:hAnsi="Times New Roman"/>
          <w:sz w:val="18"/>
          <w:szCs w:val="18"/>
          <w:u w:val="single" w:color="auto"/>
          <w:color w:val="auto"/>
        </w:rPr>
        <w:t>Rule 144A Global Note</w:t>
      </w:r>
      <w:r>
        <w:rPr>
          <w:rFonts w:ascii="Times New Roman" w:cs="Times New Roman" w:eastAsia="Times New Roman" w:hAnsi="Times New Roman"/>
          <w:sz w:val="18"/>
          <w:szCs w:val="18"/>
          <w:color w:val="auto"/>
        </w:rPr>
        <w:t>”). Regulation S Notes initially shall be represented by one or more Notes in registered, global form without interest coupons (collectively, the “</w:t>
      </w:r>
      <w:r>
        <w:rPr>
          <w:rFonts w:ascii="Times New Roman" w:cs="Times New Roman" w:eastAsia="Times New Roman" w:hAnsi="Times New Roman"/>
          <w:sz w:val="18"/>
          <w:szCs w:val="18"/>
          <w:u w:val="single" w:color="auto"/>
          <w:color w:val="auto"/>
        </w:rPr>
        <w:t>Regulation S Global Note</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Global Notes</w:t>
      </w:r>
      <w:r>
        <w:rPr>
          <w:rFonts w:ascii="Times New Roman" w:cs="Times New Roman" w:eastAsia="Times New Roman" w:hAnsi="Times New Roman"/>
          <w:sz w:val="18"/>
          <w:szCs w:val="18"/>
          <w:color w:val="auto"/>
        </w:rPr>
        <w:t>” means the Rule 144A Global Note and the Regulation S Global Note. The Global Notes shall bear the Global Note Legend. The Global Notes initially shall (i) be registered in the name of the Depositary or the nominee of such Depositary, in each case for credit to an account of an Agent Member, (ii) be delivered to the Trustee as custodian for such Depositary and (iii) bear the Private Placement Legend.</w:t>
      </w:r>
    </w:p>
    <w:p>
      <w:pPr>
        <w:spacing w:after="0" w:line="18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Members of, or direct or indirect participants in, the Depositary (“</w:t>
      </w:r>
      <w:r>
        <w:rPr>
          <w:rFonts w:ascii="Times New Roman" w:cs="Times New Roman" w:eastAsia="Times New Roman" w:hAnsi="Times New Roman"/>
          <w:sz w:val="18"/>
          <w:szCs w:val="18"/>
          <w:u w:val="single" w:color="auto"/>
          <w:color w:val="auto"/>
        </w:rPr>
        <w:t>Agent Members</w:t>
      </w:r>
      <w:r>
        <w:rPr>
          <w:rFonts w:ascii="Times New Roman" w:cs="Times New Roman" w:eastAsia="Times New Roman" w:hAnsi="Times New Roman"/>
          <w:sz w:val="18"/>
          <w:szCs w:val="18"/>
          <w:color w:val="auto"/>
        </w:rPr>
        <w:t>”) shall have no rights under this Indenture with respect to any Global Note held on their behalf by the Depositary or under the Global Notes. The Depositary may be treated by the Issuer, the Trustee and any agent of the Issuer or the Trustee as the absolute owner of the Global Notes for all purposes whatsoever. Notwithstanding the foregoing, nothing herein shall prevent the Issuer, the Trustee or any agent of the Issuer or the Trustee from giving effect to any written certification, proxy or other authorization furnished by the Depositary or impair, as between the Depositary and its Agent Members, the operation of customary practices governing the exercise of the rights of a Holder of any Note. None of the Issuer, the Trustee, the Paying Agent nor the Registrar shall have any responsibility or liability for any acts or omissions of the Depositary with respect to such Global Note, for the records of the Depositary, including records in respect of the beneficial owners of any such Global Note, for any transactions between the Depositary and any Agent Member or between or among the Depositary, any such Agent Member and/or any Holder or beneficial owner of such Global Note, or for any transfers of beneficial interests in any such Global Note.</w:t>
      </w:r>
    </w:p>
    <w:p>
      <w:pPr>
        <w:spacing w:after="0" w:line="188" w:lineRule="exact"/>
        <w:rPr>
          <w:sz w:val="20"/>
          <w:szCs w:val="20"/>
          <w:color w:val="auto"/>
        </w:rPr>
      </w:pPr>
    </w:p>
    <w:p>
      <w:pPr>
        <w:ind w:right="60" w:firstLine="987"/>
        <w:spacing w:after="0" w:line="266" w:lineRule="auto"/>
        <w:tabs>
          <w:tab w:leader="none" w:pos="124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Global Notes shall be limited to transfer in whole, but not in part, to the Depositary, its successors or their respective nominees. Interests of beneficial owners in the Global Notes may be transferred or exchanged for Physical Notes only in accordance with the applicable rules and procedures of the Depositary and the provisions of Section 2.17. In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42" w:name="page43"/>
    <w:bookmarkEnd w:id="42"/>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 a Global Note shall be exchangeable for Physical Notes (i) if requested by a holder of such interests upon receipt by the Trustee of written instructions from the Depositary or its nominee on behalf of any beneficial owner and in accordance with the rules and procedures of the Depositary and provisions of this Section 2.16 or (ii) if the Depositary notifies the Issuer that it is unwilling or unable to continue as depositary for such Global Note and the Issuer thereupon fail to appoint a successor depositary within 90 days or (iii) if the Depositary has ceased to be a clearing agency registered under the Exchange Act or (iv) if there shall have occurred and be continuing an Event of Default with respect to such Global Note and the Depository has requested such exchange. In all cases, Physical Notes delivered in exchange for any Global Note or beneficial interests therein shall be registered in the names, and issued in any approved denominations, requested by or on behalf of the Depositary in accordance with its customary procedures.</w:t>
      </w:r>
    </w:p>
    <w:p>
      <w:pPr>
        <w:spacing w:after="0" w:line="189" w:lineRule="exact"/>
        <w:rPr>
          <w:sz w:val="20"/>
          <w:szCs w:val="20"/>
          <w:color w:val="auto"/>
        </w:rPr>
      </w:pPr>
    </w:p>
    <w:p>
      <w:pPr>
        <w:ind w:right="20" w:firstLine="987"/>
        <w:spacing w:after="0" w:line="258" w:lineRule="auto"/>
        <w:tabs>
          <w:tab w:leader="none" w:pos="123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transfer of a Global Note as an entirety to beneficial owners pursuant to clause (b) of this Section 2.16, such Global Note shall be deemed to be surrendered to the Trustee for cancellation, and the Issuer shall execute and, upon receipt of a written order of the Issuer in the form of an Officer’s Certificate in accordance with Section 2.01, the Trustee shall authenticate and deliver, to each beneficial owner identified by the Depositary in writing in exchange for its beneficial interest in such Global Note, an equal aggregate principal amount of Physical Notes of authorized denominations.</w:t>
      </w:r>
    </w:p>
    <w:p>
      <w:pPr>
        <w:spacing w:after="0" w:line="183" w:lineRule="exact"/>
        <w:rPr>
          <w:rFonts w:ascii="Times New Roman" w:cs="Times New Roman" w:eastAsia="Times New Roman" w:hAnsi="Times New Roman"/>
          <w:sz w:val="18"/>
          <w:szCs w:val="18"/>
          <w:color w:val="auto"/>
        </w:rPr>
      </w:pPr>
    </w:p>
    <w:p>
      <w:pPr>
        <w:ind w:right="40" w:firstLine="987"/>
        <w:spacing w:after="0" w:line="282" w:lineRule="auto"/>
        <w:tabs>
          <w:tab w:leader="none" w:pos="124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Physical Note delivered in exchange for an interest in a Global Note pursuant to Section 2.17 shall, except as otherwise provided in Section 2.17, bear the Private Placement Legend.</w:t>
      </w:r>
    </w:p>
    <w:p>
      <w:pPr>
        <w:spacing w:after="0" w:line="161" w:lineRule="exact"/>
        <w:rPr>
          <w:rFonts w:ascii="Times New Roman" w:cs="Times New Roman" w:eastAsia="Times New Roman" w:hAnsi="Times New Roman"/>
          <w:sz w:val="18"/>
          <w:szCs w:val="18"/>
          <w:color w:val="auto"/>
        </w:rPr>
      </w:pPr>
    </w:p>
    <w:p>
      <w:pPr>
        <w:ind w:firstLine="987"/>
        <w:spacing w:after="0" w:line="282" w:lineRule="auto"/>
        <w:tabs>
          <w:tab w:leader="none" w:pos="123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any Global Note may grant proxies and otherwise authorize any Person, including Agent Members and Persons that may hold interests through Agent Members, to take any action which a Holder is entitled to take under this Indenture or the Notes.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u w:val="single" w:color="auto"/>
          <w:color w:val="auto"/>
        </w:rPr>
        <w:t>Transfer and Exchange of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61" w:lineRule="auto"/>
        <w:tabs>
          <w:tab w:leader="none" w:pos="123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 of Global Notes</w:t>
      </w:r>
      <w:r>
        <w:rPr>
          <w:rFonts w:ascii="Times New Roman" w:cs="Times New Roman" w:eastAsia="Times New Roman" w:hAnsi="Times New Roman"/>
          <w:sz w:val="18"/>
          <w:szCs w:val="18"/>
          <w:color w:val="auto"/>
        </w:rPr>
        <w:t>. A Global Note may not be transferred as a whole except as set forth in Section 2.16(b). Global Notes will not be exchanged by the Issuer for Physical Notes except under the circumstances described in Section in Section 2.16(b). Global Notes also may be exchanged or replaced, in whole or in part, as provided in Sections 2.08 and 2.11. Beneficial interests in a Global Note may be transferred and exchanged as provided in Section 2.17(b) or 2.17(f).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43" w:name="page44"/>
    <w:bookmarkEnd w:id="43"/>
    <w:p>
      <w:pPr>
        <w:ind w:left="-20" w:right="160" w:firstLine="987"/>
        <w:spacing w:after="0" w:line="256" w:lineRule="auto"/>
        <w:tabs>
          <w:tab w:leader="none" w:pos="122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 and Exchange of Beneficial Interests in Global Notes</w:t>
      </w:r>
      <w:r>
        <w:rPr>
          <w:rFonts w:ascii="Times New Roman" w:cs="Times New Roman" w:eastAsia="Times New Roman" w:hAnsi="Times New Roman"/>
          <w:sz w:val="18"/>
          <w:szCs w:val="18"/>
          <w:color w:val="auto"/>
        </w:rPr>
        <w:t>. The transfer and exchange of beneficial interests in the Global Notes shall be effected through the Depositary, in accordance with the provisions of this Indenture and the applicable rules and procedures of the Depositary. Beneficial interests in Restricted Global Notes shall be subject to restrictions on transfer comparable to those set forth herein to the extent required by the Securities Act. Beneficial interests in Global Notes shall be transferred or exchanged only for beneficial interests in Global Notes. Transfers and exchanges of beneficial interests in the Global Notes also shall require compliance with either subparagraph (i) or (ii) below, as applicable, as well as one or more of the other following subparagraphs, as applicable:</w:t>
      </w:r>
    </w:p>
    <w:p>
      <w:pPr>
        <w:spacing w:after="0" w:line="79" w:lineRule="exact"/>
        <w:rPr>
          <w:rFonts w:ascii="Times New Roman" w:cs="Times New Roman" w:eastAsia="Times New Roman" w:hAnsi="Times New Roman"/>
          <w:sz w:val="18"/>
          <w:szCs w:val="18"/>
          <w:color w:val="auto"/>
        </w:rPr>
      </w:pPr>
    </w:p>
    <w:p>
      <w:pPr>
        <w:ind w:left="420" w:firstLine="419"/>
        <w:spacing w:after="0" w:line="254" w:lineRule="auto"/>
        <w:tabs>
          <w:tab w:leader="none" w:pos="105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Beneficial Interests in the Same Global Note</w:t>
      </w:r>
      <w:r>
        <w:rPr>
          <w:rFonts w:ascii="Times New Roman" w:cs="Times New Roman" w:eastAsia="Times New Roman" w:hAnsi="Times New Roman"/>
          <w:sz w:val="18"/>
          <w:szCs w:val="18"/>
          <w:color w:val="auto"/>
        </w:rPr>
        <w:t xml:space="preserve">. Beneficial interests in any Restricted Global Note may be transferred to Persons who take delivery thereof in the form of a beneficial interest in the same Restricted Global Note in accordance with the transfer restrictions set forth in the Private Placement Legend;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prior to the 40th day after the later of the commencement of the offering of the Notes represented by a Regulation S Global Note and the issue date of such Notes (such period through and including such 40th day,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transfers of beneficial interests in a Regulation S Global Note may not be made to a U.S. Person or for the account or benefit of a U.S. Person (other than an Initial Purchaser). A beneficial interest in an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2.17(b)(i).</w:t>
      </w:r>
    </w:p>
    <w:p>
      <w:pPr>
        <w:spacing w:after="0" w:line="83" w:lineRule="exact"/>
        <w:rPr>
          <w:rFonts w:ascii="Times New Roman" w:cs="Times New Roman" w:eastAsia="Times New Roman" w:hAnsi="Times New Roman"/>
          <w:sz w:val="18"/>
          <w:szCs w:val="18"/>
          <w:color w:val="auto"/>
        </w:rPr>
      </w:pPr>
    </w:p>
    <w:p>
      <w:pPr>
        <w:ind w:left="420" w:right="120" w:firstLine="419"/>
        <w:spacing w:after="0" w:line="254" w:lineRule="auto"/>
        <w:tabs>
          <w:tab w:leader="none" w:pos="110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 Other Transfers and Exchanges of Beneficial Interests in Global Notes</w:t>
      </w:r>
      <w:r>
        <w:rPr>
          <w:rFonts w:ascii="Times New Roman" w:cs="Times New Roman" w:eastAsia="Times New Roman" w:hAnsi="Times New Roman"/>
          <w:sz w:val="18"/>
          <w:szCs w:val="18"/>
          <w:color w:val="auto"/>
        </w:rPr>
        <w:t>. In connection with all transfers and exchanges of beneficial interests in any Global Note that is not subject to Section 2.17(b)(i), the transferor of such beneficial interest must deliver to the Registrar (1) a written order from an Agent Member given to the Depositary in accordance with the applicable rules and procedures of the Depositary directing the Depositary to credit or cause to be credited a beneficial interest in another Global Note in an amount equal to the beneficial interest to be transferred or exchanged and (2) instructions given in accordance with the applicable rules and procedures of the Depositary containing information regarding the Agent Member account to be credited with such increase. Upon satisfaction of all of the requirements for transfer or exchange of beneficial interests in Global Notes contained in this Indenture and the Notes, the Trustee shall adjust the principal amount of the relevant Global Note(s) pursuant to Section 2.17(f).</w:t>
      </w:r>
    </w:p>
    <w:p>
      <w:pPr>
        <w:spacing w:after="0" w:line="83" w:lineRule="exact"/>
        <w:rPr>
          <w:rFonts w:ascii="Times New Roman" w:cs="Times New Roman" w:eastAsia="Times New Roman" w:hAnsi="Times New Roman"/>
          <w:sz w:val="18"/>
          <w:szCs w:val="18"/>
          <w:color w:val="auto"/>
        </w:rPr>
      </w:pPr>
    </w:p>
    <w:p>
      <w:pPr>
        <w:ind w:left="420" w:right="80" w:firstLine="419"/>
        <w:spacing w:after="0" w:line="266" w:lineRule="auto"/>
        <w:tabs>
          <w:tab w:leader="none" w:pos="115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Beneficial Interests to Another Restricted Global Note</w:t>
      </w:r>
      <w:r>
        <w:rPr>
          <w:rFonts w:ascii="Times New Roman" w:cs="Times New Roman" w:eastAsia="Times New Roman" w:hAnsi="Times New Roman"/>
          <w:sz w:val="18"/>
          <w:szCs w:val="18"/>
          <w:color w:val="auto"/>
        </w:rPr>
        <w:t>. A beneficial interest in a Restricted Global Note may be transferred to a Person who takes delivery thereof in the form of a beneficial interest in another Restricted Global Note if the transfer complies with the requirements of Section 2.17(b)(ii) above and the Registrar receives the following:</w:t>
      </w:r>
    </w:p>
    <w:p>
      <w:pPr>
        <w:spacing w:after="0" w:line="67" w:lineRule="exact"/>
        <w:rPr>
          <w:rFonts w:ascii="Times New Roman" w:cs="Times New Roman" w:eastAsia="Times New Roman" w:hAnsi="Times New Roman"/>
          <w:sz w:val="18"/>
          <w:szCs w:val="18"/>
          <w:color w:val="auto"/>
        </w:rPr>
      </w:pPr>
    </w:p>
    <w:p>
      <w:pPr>
        <w:ind w:left="960" w:right="500" w:firstLine="408"/>
        <w:spacing w:after="0" w:line="282" w:lineRule="auto"/>
        <w:tabs>
          <w:tab w:leader="none" w:pos="1656"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transferee will take delivery in the form of a beneficial interest in a Rule 144A Global Note, then the transferor must deliver a certificate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including the certifications in item (1) thereof; and</w:t>
      </w:r>
    </w:p>
    <w:p>
      <w:pPr>
        <w:spacing w:after="0" w:line="53" w:lineRule="exact"/>
        <w:rPr>
          <w:rFonts w:ascii="Times New Roman" w:cs="Times New Roman" w:eastAsia="Times New Roman" w:hAnsi="Times New Roman"/>
          <w:sz w:val="18"/>
          <w:szCs w:val="18"/>
          <w:color w:val="auto"/>
        </w:rPr>
      </w:pPr>
    </w:p>
    <w:p>
      <w:pPr>
        <w:ind w:left="960" w:right="360" w:firstLine="408"/>
        <w:spacing w:after="0" w:line="282" w:lineRule="auto"/>
        <w:tabs>
          <w:tab w:leader="none" w:pos="1646"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transferee will take delivery in the form of a beneficial interest in a Regulation S Global Note, then the transferor must deliver a certificate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including the certifications in item (2) thereof.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60"/>
          </w:cols>
          <w:pgMar w:left="460" w:top="270" w:right="479" w:bottom="1440" w:gutter="0" w:footer="0" w:header="0"/>
        </w:sectPr>
      </w:pPr>
    </w:p>
    <w:bookmarkStart w:id="44" w:name="page45"/>
    <w:bookmarkEnd w:id="44"/>
    <w:p>
      <w:pPr>
        <w:ind w:left="340" w:right="20" w:firstLine="419"/>
        <w:spacing w:after="0" w:line="261" w:lineRule="auto"/>
        <w:tabs>
          <w:tab w:leader="none" w:pos="106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 and Exchange of Beneficial Interests in a Restricted Global Note for Beneficial Interests in an Unrestricted Global Note</w:t>
      </w:r>
      <w:r>
        <w:rPr>
          <w:rFonts w:ascii="Times New Roman" w:cs="Times New Roman" w:eastAsia="Times New Roman" w:hAnsi="Times New Roman"/>
          <w:sz w:val="18"/>
          <w:szCs w:val="18"/>
          <w:color w:val="auto"/>
        </w:rPr>
        <w:t>. A beneficial interest in a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2.17(b)(ii) above and the Registrar receives the following:</w:t>
      </w:r>
    </w:p>
    <w:p>
      <w:pPr>
        <w:spacing w:after="0" w:line="71" w:lineRule="exact"/>
        <w:rPr>
          <w:rFonts w:ascii="Times New Roman" w:cs="Times New Roman" w:eastAsia="Times New Roman" w:hAnsi="Times New Roman"/>
          <w:sz w:val="18"/>
          <w:szCs w:val="18"/>
          <w:color w:val="auto"/>
        </w:rPr>
      </w:pPr>
    </w:p>
    <w:p>
      <w:pPr>
        <w:ind w:left="880" w:firstLine="408"/>
        <w:spacing w:after="0" w:line="266" w:lineRule="auto"/>
        <w:tabs>
          <w:tab w:leader="none" w:pos="157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beneficial interest in a Restricted Global Note proposes to exchange such beneficial interest for a beneficial interest in an Unrestricted Global Note, a certificate from such holder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including the certifications in item (1)(a) thereof; or</w:t>
      </w:r>
    </w:p>
    <w:p>
      <w:pPr>
        <w:spacing w:after="0" w:line="67" w:lineRule="exact"/>
        <w:rPr>
          <w:rFonts w:ascii="Times New Roman" w:cs="Times New Roman" w:eastAsia="Times New Roman" w:hAnsi="Times New Roman"/>
          <w:sz w:val="18"/>
          <w:szCs w:val="18"/>
          <w:color w:val="auto"/>
        </w:rPr>
      </w:pPr>
    </w:p>
    <w:p>
      <w:pPr>
        <w:jc w:val="both"/>
        <w:ind w:left="880" w:right="40" w:firstLine="408"/>
        <w:spacing w:after="0" w:line="266" w:lineRule="auto"/>
        <w:tabs>
          <w:tab w:leader="none" w:pos="156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beneficial interest in a Restricted Global Note proposes to transfer such beneficial interest to a Person who shall take delivery thereof in the form of a beneficial interest in an Unrestricted Global Note, a certificate from such holder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including the certifications in item (4) thereof,</w:t>
      </w:r>
    </w:p>
    <w:p>
      <w:pPr>
        <w:spacing w:after="0" w:line="68" w:lineRule="exact"/>
        <w:rPr>
          <w:sz w:val="20"/>
          <w:szCs w:val="20"/>
          <w:color w:val="auto"/>
        </w:rPr>
      </w:pPr>
    </w:p>
    <w:p>
      <w:pPr>
        <w:ind w:left="340"/>
        <w:spacing w:after="0" w:line="255" w:lineRule="auto"/>
        <w:rPr>
          <w:sz w:val="20"/>
          <w:szCs w:val="20"/>
          <w:color w:val="auto"/>
        </w:rPr>
      </w:pPr>
      <w:r>
        <w:rPr>
          <w:rFonts w:ascii="Times New Roman" w:cs="Times New Roman" w:eastAsia="Times New Roman" w:hAnsi="Times New Roman"/>
          <w:sz w:val="18"/>
          <w:szCs w:val="18"/>
          <w:color w:val="auto"/>
        </w:rPr>
        <w:t>and, in each such case,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 If any such transfer or exchange is effected pursuant to this subparagraph (iv) at a time when an Unrestricted Global Note has not yet been issued, the Issuer shall issue and, upon receipt of a written order of the Issuer in the form of an Officer’s Certificate in accordance with Section 2.01, the Trustee shall authenticate one or more Unrestricted Global Notes in an aggregate principal amount equal to the aggregate principal amount of beneficial interests transferred or exchanged pursuant to this subparagraph (iv).</w:t>
      </w:r>
    </w:p>
    <w:p>
      <w:pPr>
        <w:spacing w:after="0" w:line="81" w:lineRule="exact"/>
        <w:rPr>
          <w:sz w:val="20"/>
          <w:szCs w:val="20"/>
          <w:color w:val="auto"/>
        </w:rPr>
      </w:pPr>
    </w:p>
    <w:p>
      <w:pPr>
        <w:ind w:left="340" w:right="60" w:firstLine="419"/>
        <w:spacing w:after="0" w:line="266" w:lineRule="auto"/>
        <w:tabs>
          <w:tab w:leader="none" w:pos="101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 of Beneficial Interests in an Unrestricted Global Note for Beneficial Interests in a Restricted Global Note</w:t>
      </w:r>
      <w:r>
        <w:rPr>
          <w:rFonts w:ascii="Times New Roman" w:cs="Times New Roman" w:eastAsia="Times New Roman" w:hAnsi="Times New Roman"/>
          <w:sz w:val="18"/>
          <w:szCs w:val="18"/>
          <w:color w:val="auto"/>
        </w:rPr>
        <w:t>. Beneficial interests in an Unrestricted Global Note cannot be exchanged for, or transferred to Persons who take delivery thereof in the form of, a beneficial interest in a Restricted Global Note.</w:t>
      </w:r>
    </w:p>
    <w:p>
      <w:pPr>
        <w:spacing w:after="0" w:line="175" w:lineRule="exact"/>
        <w:rPr>
          <w:rFonts w:ascii="Times New Roman" w:cs="Times New Roman" w:eastAsia="Times New Roman" w:hAnsi="Times New Roman"/>
          <w:sz w:val="18"/>
          <w:szCs w:val="18"/>
          <w:color w:val="auto"/>
        </w:rPr>
      </w:pPr>
    </w:p>
    <w:p>
      <w:pPr>
        <w:ind w:left="-100" w:right="180" w:firstLine="987"/>
        <w:spacing w:after="0" w:line="266" w:lineRule="auto"/>
        <w:tabs>
          <w:tab w:leader="none" w:pos="113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 of Beneficial Interests in Global Notes for Physical Notes</w:t>
      </w:r>
      <w:r>
        <w:rPr>
          <w:rFonts w:ascii="Times New Roman" w:cs="Times New Roman" w:eastAsia="Times New Roman" w:hAnsi="Times New Roman"/>
          <w:sz w:val="18"/>
          <w:szCs w:val="18"/>
          <w:color w:val="auto"/>
        </w:rPr>
        <w:t>. A beneficial interest in a Global Note may not be exchanged for a Physical Note except under the circumstances described in Section 2.16(b). A beneficial interest in a Global Note may not be transferred to a Person who takes delivery thereof in the form of a Physical Note except under the circumstances described in Section 2.16(b).</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800"/>
          </w:cols>
          <w:pgMar w:left="540" w:top="270" w:right="559" w:bottom="1440" w:gutter="0" w:footer="0" w:header="0"/>
        </w:sectPr>
      </w:pPr>
    </w:p>
    <w:bookmarkStart w:id="45" w:name="page46"/>
    <w:bookmarkEnd w:id="45"/>
    <w:p>
      <w:pPr>
        <w:ind w:firstLine="987"/>
        <w:spacing w:after="0" w:line="282" w:lineRule="auto"/>
        <w:tabs>
          <w:tab w:leader="none" w:pos="124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 and Exchange of Physical Notes for Beneficial Interests in Global Notes</w:t>
      </w:r>
      <w:r>
        <w:rPr>
          <w:rFonts w:ascii="Times New Roman" w:cs="Times New Roman" w:eastAsia="Times New Roman" w:hAnsi="Times New Roman"/>
          <w:sz w:val="18"/>
          <w:szCs w:val="18"/>
          <w:color w:val="auto"/>
        </w:rPr>
        <w:t>. Transfers and exchanges of beneficial interests in the Global Notes also shall require compliance with either subparagraph (i), (ii) or (iii) below, as applicable:</w:t>
      </w:r>
    </w:p>
    <w:p>
      <w:pPr>
        <w:spacing w:after="0" w:line="53" w:lineRule="exact"/>
        <w:rPr>
          <w:rFonts w:ascii="Times New Roman" w:cs="Times New Roman" w:eastAsia="Times New Roman" w:hAnsi="Times New Roman"/>
          <w:sz w:val="18"/>
          <w:szCs w:val="18"/>
          <w:color w:val="auto"/>
        </w:rPr>
      </w:pPr>
    </w:p>
    <w:p>
      <w:pPr>
        <w:jc w:val="both"/>
        <w:ind w:left="440" w:right="420" w:firstLine="419"/>
        <w:spacing w:after="0" w:line="261" w:lineRule="auto"/>
        <w:tabs>
          <w:tab w:leader="none" w:pos="107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Physical Notes to Beneficial Interests in Restricted Global Notes</w:t>
      </w:r>
      <w:r>
        <w:rPr>
          <w:rFonts w:ascii="Times New Roman" w:cs="Times New Roman" w:eastAsia="Times New Roman" w:hAnsi="Times New Roman"/>
          <w:sz w:val="18"/>
          <w:szCs w:val="18"/>
          <w:color w:val="auto"/>
        </w:rPr>
        <w:t>. If any Holder of a Restricted Physical Note proposes to exchange such Restricted Physical Note for a beneficial interest in a Restricted Global Note or to transfer such Restricted Physical Note to a Person who takes delivery thereof in the form of a beneficial interest in a Restricted Global Note, then, upon receipt by the Registrar of the following documentation:</w:t>
      </w:r>
    </w:p>
    <w:p>
      <w:pPr>
        <w:spacing w:after="0" w:line="71" w:lineRule="exact"/>
        <w:rPr>
          <w:rFonts w:ascii="Times New Roman" w:cs="Times New Roman" w:eastAsia="Times New Roman" w:hAnsi="Times New Roman"/>
          <w:sz w:val="18"/>
          <w:szCs w:val="18"/>
          <w:color w:val="auto"/>
        </w:rPr>
      </w:pPr>
    </w:p>
    <w:p>
      <w:pPr>
        <w:ind w:left="980" w:right="200" w:firstLine="408"/>
        <w:spacing w:after="0" w:line="282" w:lineRule="auto"/>
        <w:tabs>
          <w:tab w:leader="none" w:pos="1676"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Restricted Physical Note proposes to exchange such Restricted Physical Note for a beneficial interest in a Restricted Global Note, a certificate from such Holder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including the certifications in item (2)(a) thereof;</w:t>
      </w:r>
    </w:p>
    <w:p>
      <w:pPr>
        <w:spacing w:after="0" w:line="53" w:lineRule="exact"/>
        <w:rPr>
          <w:rFonts w:ascii="Times New Roman" w:cs="Times New Roman" w:eastAsia="Times New Roman" w:hAnsi="Times New Roman"/>
          <w:sz w:val="18"/>
          <w:szCs w:val="18"/>
          <w:color w:val="auto"/>
        </w:rPr>
      </w:pPr>
    </w:p>
    <w:p>
      <w:pPr>
        <w:ind w:left="980" w:right="200" w:firstLine="408"/>
        <w:spacing w:after="0" w:line="282" w:lineRule="auto"/>
        <w:tabs>
          <w:tab w:leader="none" w:pos="1666"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Physical Note is being transferred to a Qualified Institutional Buyer in accordance with Rule 144A under the Securities Act, a certificate to the effect set forth in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including the certifications in item (1) thereof;</w:t>
      </w:r>
    </w:p>
    <w:p>
      <w:pPr>
        <w:spacing w:after="0" w:line="53" w:lineRule="exact"/>
        <w:rPr>
          <w:rFonts w:ascii="Times New Roman" w:cs="Times New Roman" w:eastAsia="Times New Roman" w:hAnsi="Times New Roman"/>
          <w:sz w:val="18"/>
          <w:szCs w:val="18"/>
          <w:color w:val="auto"/>
        </w:rPr>
      </w:pPr>
    </w:p>
    <w:p>
      <w:pPr>
        <w:ind w:left="980" w:right="20" w:firstLine="408"/>
        <w:spacing w:after="0" w:line="282" w:lineRule="auto"/>
        <w:tabs>
          <w:tab w:leader="none" w:pos="1666"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Physical Note is being transferred to a Non-U.S. Person in an offshore transaction in accordance with Rule 903 or Rule 904 under the Securities Act, a certificate to the effect set forth in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including the certifications in item (2) thereof;</w:t>
      </w:r>
    </w:p>
    <w:p>
      <w:pPr>
        <w:spacing w:after="0" w:line="53" w:lineRule="exact"/>
        <w:rPr>
          <w:rFonts w:ascii="Times New Roman" w:cs="Times New Roman" w:eastAsia="Times New Roman" w:hAnsi="Times New Roman"/>
          <w:sz w:val="18"/>
          <w:szCs w:val="18"/>
          <w:color w:val="auto"/>
        </w:rPr>
      </w:pPr>
    </w:p>
    <w:p>
      <w:pPr>
        <w:jc w:val="both"/>
        <w:ind w:left="980" w:right="700" w:firstLine="408"/>
        <w:spacing w:after="0" w:line="266" w:lineRule="auto"/>
        <w:tabs>
          <w:tab w:leader="none" w:pos="1676"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Physical Note is being transferred pursuant to an exemption from the registration requirements of the Securities Act in accordance with Rule 144 under the Securities Act, a certificate to the effect set forth in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including the certifications in item (3)(a) thereof; or</w:t>
      </w:r>
    </w:p>
    <w:p>
      <w:pPr>
        <w:spacing w:after="0" w:line="67" w:lineRule="exact"/>
        <w:rPr>
          <w:rFonts w:ascii="Times New Roman" w:cs="Times New Roman" w:eastAsia="Times New Roman" w:hAnsi="Times New Roman"/>
          <w:sz w:val="18"/>
          <w:szCs w:val="18"/>
          <w:color w:val="auto"/>
        </w:rPr>
      </w:pPr>
    </w:p>
    <w:p>
      <w:pPr>
        <w:ind w:left="980" w:right="320" w:firstLine="408"/>
        <w:spacing w:after="0" w:line="282" w:lineRule="auto"/>
        <w:tabs>
          <w:tab w:leader="none" w:pos="1656"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Physical Note is being transferred to the Issuer or a Subsidiary thereof, a certificate to the effect set forth in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including the certifications in item (3)(b) thereof,</w:t>
      </w:r>
    </w:p>
    <w:p>
      <w:pPr>
        <w:spacing w:after="0" w:line="54" w:lineRule="exact"/>
        <w:rPr>
          <w:sz w:val="20"/>
          <w:szCs w:val="20"/>
          <w:color w:val="auto"/>
        </w:rPr>
      </w:pPr>
    </w:p>
    <w:p>
      <w:pPr>
        <w:ind w:left="440" w:right="440"/>
        <w:spacing w:after="0" w:line="282" w:lineRule="auto"/>
        <w:rPr>
          <w:sz w:val="20"/>
          <w:szCs w:val="20"/>
          <w:color w:val="auto"/>
        </w:rPr>
      </w:pPr>
      <w:r>
        <w:rPr>
          <w:rFonts w:ascii="Times New Roman" w:cs="Times New Roman" w:eastAsia="Times New Roman" w:hAnsi="Times New Roman"/>
          <w:sz w:val="18"/>
          <w:szCs w:val="18"/>
          <w:color w:val="auto"/>
        </w:rPr>
        <w:t>the Trustee shall cancel the Restricted Physical Note, and increase or cause to be increased the aggregate principal amount of the appropriate Restricted Global Note.</w:t>
      </w:r>
    </w:p>
    <w:p>
      <w:pPr>
        <w:spacing w:after="0" w:line="54" w:lineRule="exact"/>
        <w:rPr>
          <w:sz w:val="20"/>
          <w:szCs w:val="20"/>
          <w:color w:val="auto"/>
        </w:rPr>
      </w:pPr>
    </w:p>
    <w:p>
      <w:pPr>
        <w:jc w:val="both"/>
        <w:ind w:left="440" w:right="260" w:firstLine="419"/>
        <w:spacing w:after="0" w:line="266" w:lineRule="auto"/>
        <w:tabs>
          <w:tab w:leader="none" w:pos="112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Physical Notes to Beneficial Interests in Unrestricted Global Notes</w:t>
      </w:r>
      <w:r>
        <w:rPr>
          <w:rFonts w:ascii="Times New Roman" w:cs="Times New Roman" w:eastAsia="Times New Roman" w:hAnsi="Times New Roman"/>
          <w:sz w:val="18"/>
          <w:szCs w:val="18"/>
          <w:color w:val="auto"/>
        </w:rPr>
        <w:t>. A Holder of a Restricted Physical Note may exchange such Restricted Physical Note for a beneficial interest in an Unrestricted Global Note or transfer such Restricted Physical Note to a Person who takes delivery thereof in the form of a beneficial interest in an Unrestricted Global Note only if the Registrar receives the following:</w:t>
      </w:r>
    </w:p>
    <w:p>
      <w:pPr>
        <w:spacing w:after="0" w:line="67" w:lineRule="exact"/>
        <w:rPr>
          <w:rFonts w:ascii="Times New Roman" w:cs="Times New Roman" w:eastAsia="Times New Roman" w:hAnsi="Times New Roman"/>
          <w:sz w:val="18"/>
          <w:szCs w:val="18"/>
          <w:color w:val="auto"/>
        </w:rPr>
      </w:pPr>
    </w:p>
    <w:p>
      <w:pPr>
        <w:ind w:left="980" w:right="100" w:firstLine="408"/>
        <w:spacing w:after="0" w:line="282" w:lineRule="auto"/>
        <w:tabs>
          <w:tab w:leader="none" w:pos="167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Restricted Physical Note proposes to exchange such Restricted Physical Note for a beneficial interest in an Unrestricted Global Note, a certificate from such Holder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including the certifications in item (1)(b) thereof; 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46" w:name="page47"/>
    <w:bookmarkEnd w:id="46"/>
    <w:p>
      <w:pPr>
        <w:ind w:left="980" w:right="60" w:firstLine="408"/>
        <w:spacing w:after="0" w:line="266" w:lineRule="auto"/>
        <w:tabs>
          <w:tab w:leader="none" w:pos="166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Holder of such Restricted Physical Notes proposes to transfer such Restricted Physical Note to a Person who shall take delivery thereof in the form of a beneficial interest in an Unrestricted Global Note, a certificate from such Holder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including the certifications in item (4) thereof,</w:t>
      </w:r>
    </w:p>
    <w:p>
      <w:pPr>
        <w:spacing w:after="0" w:line="68" w:lineRule="exact"/>
        <w:rPr>
          <w:sz w:val="20"/>
          <w:szCs w:val="20"/>
          <w:color w:val="auto"/>
        </w:rPr>
      </w:pPr>
    </w:p>
    <w:p>
      <w:pPr>
        <w:ind w:left="440" w:right="120"/>
        <w:spacing w:after="0" w:line="254" w:lineRule="auto"/>
        <w:rPr>
          <w:sz w:val="20"/>
          <w:szCs w:val="20"/>
          <w:color w:val="auto"/>
        </w:rPr>
      </w:pPr>
      <w:r>
        <w:rPr>
          <w:rFonts w:ascii="Times New Roman" w:cs="Times New Roman" w:eastAsia="Times New Roman" w:hAnsi="Times New Roman"/>
          <w:sz w:val="18"/>
          <w:szCs w:val="18"/>
          <w:color w:val="auto"/>
        </w:rPr>
        <w:t>and, in each such case,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 Upon satisfaction of the conditions of this subparagraph (ii), the Trustee shall cancel the Restricted Physical Notes and increase or cause to be increased the aggregate principal amount of the Unrestricted Global Note. If any such transfer or exchange is effected pursuant to this subparagraph (ii) at a time when an Unrestricted Global Note has not yet been issued, the Issuer shall issue and, upon receipt of a written order of the Issuer in the form of an Officer’s Certificate in accordance with Section 2.01, the Trustee shall authenticate one or more Unrestricted Global Notes in an aggregate principal amount equal to the aggregate principal amount of Restricted Physical Notes transferred or exchanged pursuant to this subparagraph (ii).</w:t>
      </w:r>
    </w:p>
    <w:p>
      <w:pPr>
        <w:spacing w:after="0" w:line="84" w:lineRule="exact"/>
        <w:rPr>
          <w:sz w:val="20"/>
          <w:szCs w:val="20"/>
          <w:color w:val="auto"/>
        </w:rPr>
      </w:pPr>
    </w:p>
    <w:p>
      <w:pPr>
        <w:ind w:left="440" w:firstLine="419"/>
        <w:spacing w:after="0" w:line="254" w:lineRule="auto"/>
        <w:tabs>
          <w:tab w:leader="none" w:pos="117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Unrestricted Physical Notes to Beneficial Interests in Unrestricted Global Notes</w:t>
      </w:r>
      <w:r>
        <w:rPr>
          <w:rFonts w:ascii="Times New Roman" w:cs="Times New Roman" w:eastAsia="Times New Roman" w:hAnsi="Times New Roman"/>
          <w:sz w:val="18"/>
          <w:szCs w:val="18"/>
          <w:color w:val="auto"/>
        </w:rPr>
        <w:t>. A Holder of an Unrestricted Physical Note may exchange such Unrestricted Physical Note for a beneficial interest in an Unrestricted Global Note or transfer such Unrestricted Physical Note to a Person who takes delivery thereof in the form of a beneficial interest in an Unrestricted Global Note at any time. Upon receipt of a request for such an exchange or transfer, the Trustee shall cancel the applicable Unrestricted Physical Note and increase or cause to be increased the aggregate principal amount of one of the Unrestricted Global Notes. If any such transfer or exchange is effected pursuant to this subparagraph (iii) at a time when an Unrestricted Global Note has not yet been issued, the Issuer shall issue and, upon receipt of a written order of the Issuer in the form of an Officer’s Certificate in accordance with Section 2.01, the Trustee shall authenticate one or more Unrestricted Global Notes in an aggregate principal amount equal to the aggregate principal amount of Unrestricted Physical Notes transferred or exchanged pursuant to this subparagraph (iii).</w:t>
      </w:r>
    </w:p>
    <w:p>
      <w:pPr>
        <w:spacing w:after="0" w:line="80"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6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Unrestricted Physical Notes to Beneficial Interests in Restricted Global Notes</w:t>
      </w:r>
      <w:r>
        <w:rPr>
          <w:rFonts w:ascii="Times New Roman" w:cs="Times New Roman" w:eastAsia="Times New Roman" w:hAnsi="Times New Roman"/>
          <w:sz w:val="18"/>
          <w:szCs w:val="18"/>
          <w:color w:val="auto"/>
        </w:rPr>
        <w:t>. An Unrestricted Physical Note cannot be exchanged for, or transferred to a Person who takes delivery thereof in the form of, a beneficial interest in a Restricted Global Note.</w:t>
      </w:r>
    </w:p>
    <w:p>
      <w:pPr>
        <w:spacing w:after="0" w:line="161" w:lineRule="exact"/>
        <w:rPr>
          <w:rFonts w:ascii="Times New Roman" w:cs="Times New Roman" w:eastAsia="Times New Roman" w:hAnsi="Times New Roman"/>
          <w:sz w:val="18"/>
          <w:szCs w:val="18"/>
          <w:color w:val="auto"/>
        </w:rPr>
      </w:pPr>
    </w:p>
    <w:p>
      <w:pPr>
        <w:ind w:right="40" w:firstLine="987"/>
        <w:spacing w:after="0" w:line="256" w:lineRule="auto"/>
        <w:tabs>
          <w:tab w:leader="none" w:pos="123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 of Physical Notes for Physical Notes</w:t>
      </w:r>
      <w:r>
        <w:rPr>
          <w:rFonts w:ascii="Times New Roman" w:cs="Times New Roman" w:eastAsia="Times New Roman" w:hAnsi="Times New Roman"/>
          <w:sz w:val="18"/>
          <w:szCs w:val="18"/>
          <w:color w:val="auto"/>
        </w:rPr>
        <w:t>. Upon request by a Holder of Physical Notes and such Holder’s compliance with the provisions of this Section 2.17(e), the Registrar shall register the transfer or exchange of Physical Notes. Prior to such registration of transfer or exchange, the requesting Holder shall present or surrender to the Registrar the Physical Notes duly endorsed or accompanied by a written instruction of transfer in form satisfactory to the Registrar duly executed by such Holder or by its attorney, duly authorized in writing. In addition, the requesting Holder shall provide any additional certifications, documents and information, as applicable, required pursuant to the following provisions of this Section 2.17(e).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47" w:name="page48"/>
    <w:bookmarkEnd w:id="47"/>
    <w:p>
      <w:pPr>
        <w:ind w:right="40" w:firstLine="419"/>
        <w:spacing w:after="0" w:line="282" w:lineRule="auto"/>
        <w:tabs>
          <w:tab w:leader="none" w:pos="63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Restricted Physical Notes to Restricted Physical Notes</w:t>
      </w:r>
      <w:r>
        <w:rPr>
          <w:rFonts w:ascii="Times New Roman" w:cs="Times New Roman" w:eastAsia="Times New Roman" w:hAnsi="Times New Roman"/>
          <w:sz w:val="18"/>
          <w:szCs w:val="18"/>
          <w:color w:val="auto"/>
        </w:rPr>
        <w:t>. A Restricted Physical Note may be transferred to and registered in the name of a Person who takes delivery thereof in the form of a Restricted Physical Note if the Registrar receives the following:</w:t>
      </w:r>
    </w:p>
    <w:p>
      <w:pPr>
        <w:spacing w:after="0" w:line="53" w:lineRule="exact"/>
        <w:rPr>
          <w:rFonts w:ascii="Times New Roman" w:cs="Times New Roman" w:eastAsia="Times New Roman" w:hAnsi="Times New Roman"/>
          <w:sz w:val="18"/>
          <w:szCs w:val="18"/>
          <w:color w:val="auto"/>
        </w:rPr>
      </w:pPr>
    </w:p>
    <w:p>
      <w:pPr>
        <w:ind w:left="540" w:right="140" w:firstLine="408"/>
        <w:spacing w:after="0" w:line="282" w:lineRule="auto"/>
        <w:tabs>
          <w:tab w:leader="none" w:pos="1236"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 will be made pursuant to Rule 144A under the Securities Act, then the transferor must deliver a certificate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including the certifications in item (1) thereof;</w:t>
      </w:r>
    </w:p>
    <w:p>
      <w:pPr>
        <w:spacing w:after="0" w:line="53" w:lineRule="exact"/>
        <w:rPr>
          <w:rFonts w:ascii="Times New Roman" w:cs="Times New Roman" w:eastAsia="Times New Roman" w:hAnsi="Times New Roman"/>
          <w:sz w:val="18"/>
          <w:szCs w:val="18"/>
          <w:color w:val="auto"/>
        </w:rPr>
      </w:pPr>
    </w:p>
    <w:p>
      <w:pPr>
        <w:ind w:left="540" w:right="600" w:firstLine="408"/>
        <w:spacing w:after="0" w:line="282" w:lineRule="auto"/>
        <w:tabs>
          <w:tab w:leader="none" w:pos="1226"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 will be made pursuant to Rule 903 or Rule 904 under the Securities Act, then the transferor must deliver a certificate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including the certifications in item (2) thereof;</w:t>
      </w:r>
    </w:p>
    <w:p>
      <w:pPr>
        <w:spacing w:after="0" w:line="53" w:lineRule="exact"/>
        <w:rPr>
          <w:rFonts w:ascii="Times New Roman" w:cs="Times New Roman" w:eastAsia="Times New Roman" w:hAnsi="Times New Roman"/>
          <w:sz w:val="18"/>
          <w:szCs w:val="18"/>
          <w:color w:val="auto"/>
        </w:rPr>
      </w:pPr>
    </w:p>
    <w:p>
      <w:pPr>
        <w:ind w:left="540" w:firstLine="408"/>
        <w:spacing w:after="0" w:line="282" w:lineRule="auto"/>
        <w:tabs>
          <w:tab w:leader="none" w:pos="1226"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 will be made pursuant to an exemption from the registration requirements of the Securities Act in accordance with Rule 144 under the Securities Act, a certificate to the effect set forth in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including the certifications in item (3)(a) thereof; and</w:t>
      </w:r>
    </w:p>
    <w:p>
      <w:pPr>
        <w:spacing w:after="0" w:line="53" w:lineRule="exact"/>
        <w:rPr>
          <w:rFonts w:ascii="Times New Roman" w:cs="Times New Roman" w:eastAsia="Times New Roman" w:hAnsi="Times New Roman"/>
          <w:sz w:val="18"/>
          <w:szCs w:val="18"/>
          <w:color w:val="auto"/>
        </w:rPr>
      </w:pPr>
    </w:p>
    <w:p>
      <w:pPr>
        <w:ind w:left="540" w:right="140" w:firstLine="408"/>
        <w:spacing w:after="0" w:line="282" w:lineRule="auto"/>
        <w:tabs>
          <w:tab w:leader="none" w:pos="1236"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transfer will be made to the Issuer or a Subsidiary thereof, a certificate to the effect set forth in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including the certifications in item (3)(b) thereof.</w:t>
      </w:r>
    </w:p>
    <w:p>
      <w:pPr>
        <w:spacing w:after="0" w:line="53" w:lineRule="exact"/>
        <w:rPr>
          <w:rFonts w:ascii="Times New Roman" w:cs="Times New Roman" w:eastAsia="Times New Roman" w:hAnsi="Times New Roman"/>
          <w:sz w:val="18"/>
          <w:szCs w:val="18"/>
          <w:color w:val="auto"/>
        </w:rPr>
      </w:pPr>
    </w:p>
    <w:p>
      <w:pPr>
        <w:ind w:right="40" w:firstLine="419"/>
        <w:spacing w:after="0" w:line="266" w:lineRule="auto"/>
        <w:tabs>
          <w:tab w:leader="none" w:pos="68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Physical Notes to Unrestricted Physical Notes</w:t>
      </w:r>
      <w:r>
        <w:rPr>
          <w:rFonts w:ascii="Times New Roman" w:cs="Times New Roman" w:eastAsia="Times New Roman" w:hAnsi="Times New Roman"/>
          <w:sz w:val="18"/>
          <w:szCs w:val="18"/>
          <w:color w:val="auto"/>
        </w:rPr>
        <w:t>. Any Restricted Physical Note may be exchanged by the Holder thereof for an Unrestricted Physical Note or transferred to a Person who takes delivery thereof in the form of an Unrestricted Physical Note if the Registrar receives the following:</w:t>
      </w:r>
    </w:p>
    <w:p>
      <w:pPr>
        <w:spacing w:after="0" w:line="68" w:lineRule="exact"/>
        <w:rPr>
          <w:sz w:val="20"/>
          <w:szCs w:val="20"/>
          <w:color w:val="auto"/>
        </w:rPr>
      </w:pPr>
    </w:p>
    <w:p>
      <w:pPr>
        <w:ind w:left="540" w:right="120" w:firstLine="408"/>
        <w:spacing w:after="0" w:line="282" w:lineRule="auto"/>
        <w:tabs>
          <w:tab w:leader="none" w:pos="119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Restricted Physical Note proposes to exchange such Restricted Physical Note for an Unrestricted Physical Note, a certificate from such Holder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including the certifications in item (1)(c) thereof; or</w:t>
      </w:r>
    </w:p>
    <w:p>
      <w:pPr>
        <w:spacing w:after="0" w:line="53" w:lineRule="exact"/>
        <w:rPr>
          <w:rFonts w:ascii="Times New Roman" w:cs="Times New Roman" w:eastAsia="Times New Roman" w:hAnsi="Times New Roman"/>
          <w:sz w:val="18"/>
          <w:szCs w:val="18"/>
          <w:color w:val="auto"/>
        </w:rPr>
      </w:pPr>
    </w:p>
    <w:p>
      <w:pPr>
        <w:ind w:left="540" w:right="100" w:firstLine="408"/>
        <w:spacing w:after="0" w:line="266" w:lineRule="auto"/>
        <w:tabs>
          <w:tab w:leader="none" w:pos="119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Restricted Physical Note proposes to transfer such Notes to a Person who shall take delivery thereof in the form of an Unrestricted Physical Note, a certificate from such Holder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including the certifications in item (4) thereof,</w:t>
      </w:r>
    </w:p>
    <w:p>
      <w:pPr>
        <w:spacing w:after="0" w:line="68"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and, in each such case, an Opinion of Counsel in form reasonably acceptable to the Issuer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0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480"/>
          </w:cols>
          <w:pgMar w:left="880" w:top="270" w:right="539" w:bottom="1440" w:gutter="0" w:footer="0" w:header="0"/>
        </w:sectPr>
      </w:pPr>
    </w:p>
    <w:bookmarkStart w:id="48" w:name="page49"/>
    <w:bookmarkEnd w:id="48"/>
    <w:p>
      <w:pPr>
        <w:ind w:left="440" w:right="80" w:firstLine="419"/>
        <w:spacing w:after="0" w:line="289" w:lineRule="auto"/>
        <w:tabs>
          <w:tab w:leader="none" w:pos="1178"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Unrestricted Physical Notes to Unrestricted Physical Notes</w:t>
      </w:r>
      <w:r>
        <w:rPr>
          <w:rFonts w:ascii="Times New Roman" w:cs="Times New Roman" w:eastAsia="Times New Roman" w:hAnsi="Times New Roman"/>
          <w:sz w:val="17"/>
          <w:szCs w:val="17"/>
          <w:color w:val="auto"/>
        </w:rPr>
        <w:t>. A Holder of an Unrestricted Physical Note may transfer such Unrestricted Physical Notes to a Person who takes delivery thereof in the form of an Unrestricted Physical Note at any time. Upon receipt of a request to register such a transfer, the Registrar shall register the Unrestricted Physical Notes pursuant to the instructions from the Holder thereof.</w:t>
      </w:r>
    </w:p>
    <w:p>
      <w:pPr>
        <w:spacing w:after="0" w:line="49" w:lineRule="exact"/>
        <w:rPr>
          <w:rFonts w:ascii="Times New Roman" w:cs="Times New Roman" w:eastAsia="Times New Roman" w:hAnsi="Times New Roman"/>
          <w:sz w:val="17"/>
          <w:szCs w:val="17"/>
          <w:color w:val="auto"/>
        </w:rPr>
      </w:pPr>
    </w:p>
    <w:p>
      <w:pPr>
        <w:ind w:left="440" w:right="180" w:firstLine="419"/>
        <w:spacing w:after="0" w:line="282" w:lineRule="auto"/>
        <w:tabs>
          <w:tab w:leader="none" w:pos="116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Unrestricted Physical Notes to Restricted Physical Notes</w:t>
      </w:r>
      <w:r>
        <w:rPr>
          <w:rFonts w:ascii="Times New Roman" w:cs="Times New Roman" w:eastAsia="Times New Roman" w:hAnsi="Times New Roman"/>
          <w:sz w:val="18"/>
          <w:szCs w:val="18"/>
          <w:color w:val="auto"/>
        </w:rPr>
        <w:t>. An Unrestricted Physical Note cannot be exchanged for, or transferred to a Person who takes delivery thereof in the form of, a Restricted Physical Note.</w:t>
      </w:r>
    </w:p>
    <w:p>
      <w:pPr>
        <w:spacing w:after="0" w:line="161" w:lineRule="exact"/>
        <w:rPr>
          <w:rFonts w:ascii="Times New Roman" w:cs="Times New Roman" w:eastAsia="Times New Roman" w:hAnsi="Times New Roman"/>
          <w:sz w:val="18"/>
          <w:szCs w:val="18"/>
          <w:color w:val="auto"/>
        </w:rPr>
      </w:pPr>
    </w:p>
    <w:p>
      <w:pPr>
        <w:ind w:right="20" w:firstLine="987"/>
        <w:spacing w:after="0" w:line="254" w:lineRule="auto"/>
        <w:tabs>
          <w:tab w:leader="none" w:pos="121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 and/or Adjustment of Global Notes</w:t>
      </w:r>
      <w:r>
        <w:rPr>
          <w:rFonts w:ascii="Times New Roman" w:cs="Times New Roman" w:eastAsia="Times New Roman" w:hAnsi="Times New Roman"/>
          <w:sz w:val="18"/>
          <w:szCs w:val="18"/>
          <w:color w:val="auto"/>
        </w:rPr>
        <w:t>. At such time as all beneficial interests in a particular Global Note have been exchanged for Physical Notes or a particular Global Note has been redeemed, repurchased or canceled in whole and not in part, each such Global Note shall be returned to or retained and canceled by the Trustee in accordance with Section 2.12. At any time prior to such cancellation, if any beneficial interest in a Global Note is exchanged for or transferred to a Person who will take delivery thereof in the form of a beneficial interest in another Global Note or for Physical Notes, the principal amount of Notes represented by such Global Note shall be reduced accordingly and an endorsement shall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shall be increased accordingly and an endorsement shall be made on such Global Note by the Trustee or by the Depositary at the direction of the Trustee to reflect such increase.</w:t>
      </w:r>
    </w:p>
    <w:p>
      <w:pPr>
        <w:spacing w:after="0" w:line="188"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Placement Legend</w:t>
      </w:r>
      <w:r>
        <w:rPr>
          <w:rFonts w:ascii="Times New Roman" w:cs="Times New Roman" w:eastAsia="Times New Roman" w:hAnsi="Times New Roman"/>
          <w:sz w:val="18"/>
          <w:szCs w:val="18"/>
          <w:color w:val="auto"/>
        </w:rPr>
        <w:t>. Upon the registration of transfer, exchange or replacement of Notes not bearing the Private Placement Legend, the Registrar shall deliver Notes that do not bear the Private Placement Legend. Upon the registration of transfer, exchange or replacement of Notes bearing the Private Placement Legend, the Registrar shall deliver only Notes that bear the Private Placement Legend unless (i) there is delivered to the Registrar an Opinion of Counsel reasonably satisfactory to the Issuer and the Trustee to the effect that neither such legend nor the related restrictions on transfer are required in order to maintain compliance with the provisions of the Securities Act or (ii) such Note has been sold pursuant to an effective registration statement under the Securities Act and the Registrar has received an Officer’s Certificate from the Issuer to such effect.</w:t>
      </w:r>
    </w:p>
    <w:p>
      <w:pPr>
        <w:spacing w:after="0" w:line="187" w:lineRule="exact"/>
        <w:rPr>
          <w:rFonts w:ascii="Times New Roman" w:cs="Times New Roman" w:eastAsia="Times New Roman" w:hAnsi="Times New Roman"/>
          <w:sz w:val="18"/>
          <w:szCs w:val="18"/>
          <w:color w:val="auto"/>
        </w:rPr>
      </w:pPr>
    </w:p>
    <w:p>
      <w:pPr>
        <w:ind w:right="60" w:firstLine="987"/>
        <w:spacing w:after="0" w:line="266" w:lineRule="auto"/>
        <w:tabs>
          <w:tab w:leader="none" w:pos="124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All Global Notes and Physical Notes issued upon any registration of transfer or exchange of Global Notes or Physical Notes shall be the valid obligations of the Issuer, evidencing the same debt, and entitled to the same benefits under this Indenture, as the Global Notes or Physical Notes surrendered upon such registration of transfer or exchange.</w:t>
      </w:r>
    </w:p>
    <w:p>
      <w:pPr>
        <w:spacing w:after="0" w:line="176"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The Registrar shall retain for a period of two years copies of all letters, notices and other written communications received pursuant to Section 2.16 or this Section 2.17. The Issuer shall have the right to inspect and make copies of all such letters, notices or other written communications at any reasonable time upon the giving of reasonable notice to the Registrar.</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00"/>
          </w:cols>
          <w:pgMar w:left="440" w:top="270" w:right="559" w:bottom="1440" w:gutter="0" w:footer="0" w:header="0"/>
        </w:sectPr>
      </w:pPr>
    </w:p>
    <w:bookmarkStart w:id="49" w:name="page50"/>
    <w:bookmarkEnd w:id="49"/>
    <w:p>
      <w:pPr>
        <w:ind w:right="30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 of the Issuer, the Trustee, Paying Agent nor any Agent of the Issuer shall have any responsibility or liability in any respect of the records relating to or payment made on account of beneficial interests in a Global Note, or for maintaining, supervising or reviewing any records relating to such beneficial ownership interests.</w:t>
      </w:r>
    </w:p>
    <w:p>
      <w:pPr>
        <w:spacing w:after="0" w:line="176"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Neither the Trustee nor the Registrar shall have any obligation or duty to monitor, determine or inquire as to compliance with any restrictions on transfer imposed under this Indenture or under applicable law with respect to any transfer of any interest in any Note (including any transfers between or among Agent Members or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2.18. </w:t>
      </w:r>
      <w:r>
        <w:rPr>
          <w:rFonts w:ascii="Times New Roman" w:cs="Times New Roman" w:eastAsia="Times New Roman" w:hAnsi="Times New Roman"/>
          <w:sz w:val="18"/>
          <w:szCs w:val="18"/>
          <w:u w:val="single" w:color="auto"/>
          <w:color w:val="auto"/>
        </w:rPr>
        <w:t>Computation of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Interest on the Notes shall be computed on the basis of a 360-day year of twelve 30-day months and actual days elapsed.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THREE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REDEMPTION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Election To Redeem; Notices to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If the Issuer elects to redeem Notes of a series pursuant to paragraph 5 of such series of Notes, at least 10 days prior to the Redemption Date, the Issuer shall notify the Trustee in writing of the Redemption Date, the principal amount of such Notes to be redeemed and the redemption price(s), and deliver to the Trustee an Officer’s Certificate stating that such redemption will comply with the conditions contained in paragraph 5 of such Notes. Notice given to the Trustee pursuant to this Section 3.01 may not be revoked after the time that notice is given to Noteholders pursuant to Section 3.03, but it may be conditional as set forth in Section 3.03. If the redemption price is not known at the time such notice is to be given, the actual redemption price, calculated as described in the terms of such Notes, will be set forth in an Officer’s Certificate delivered to the Trustee no later than two Business Days prior to the redemption date.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Selection by Trustee of Notes To Be Redeemed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If less than all of the Notes of any series are to be redeemed at any time, selection of such Notes for redemption will be made by the Trustee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to the extent practicable (or, in the case of Global Notes, the Notes will be selected for redemption based on the Depositary’s applicable procedures);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Notes with a principal amount of $2,000 or less shall be redeemed in part. For all purposes of this Indenture unless the context otherwise requires, provisions of this Indenture that apply to Notes called for redemption also apply to portions of Notes called for redemption. Redemption amounts shall only be paid upon presentation and surrender of any such Notes to be redeemed to the Trustee at its Corporate Trust Office.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80"/>
          </w:cols>
          <w:pgMar w:left="440" w:top="270"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3.03. </w:t>
      </w:r>
      <w:r>
        <w:rPr>
          <w:rFonts w:ascii="Times New Roman" w:cs="Times New Roman" w:eastAsia="Times New Roman" w:hAnsi="Times New Roman"/>
          <w:sz w:val="18"/>
          <w:szCs w:val="18"/>
          <w:u w:val="single" w:color="auto"/>
          <w:color w:val="auto"/>
        </w:rPr>
        <w:t>Notice of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At least 10 days, and no more than 60 days, before a Redemption Date, the Issuer shall send, or cause to be sent, a notice of redemption electronically or by first-class mail to each Holder of Notes to be redeemed at his or her last address as the same appears on the registry books maintained by the Registrar pursuant to Section 2.06.</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notice shall identify the Notes to be redeemed (including the CUSIP and/or ISIN numbers thereof) and shall state:</w:t>
      </w:r>
    </w:p>
    <w:p>
      <w:pPr>
        <w:spacing w:after="0" w:line="117" w:lineRule="exact"/>
        <w:rPr>
          <w:sz w:val="20"/>
          <w:szCs w:val="20"/>
          <w:color w:val="auto"/>
        </w:rPr>
      </w:pPr>
    </w:p>
    <w:p>
      <w:pPr>
        <w:ind w:left="1120" w:hanging="261"/>
        <w:spacing w:after="0"/>
        <w:tabs>
          <w:tab w:leader="none" w:pos="1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and the amount of premium and accrued interest to be paid;</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1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Notes of any series are being redeemed in part, the portion of the principal amount of such Note to be redeemed and that, after the Redemption Date and upon surrender of such Note, a new Note or Notes in principal amount equal to the unredeemed portion will be issued;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Notes called for redemption must be surrendered to the Paying Agent to collect the redemption price;</w:t>
      </w:r>
    </w:p>
    <w:p>
      <w:pPr>
        <w:spacing w:after="0" w:line="117"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11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the Issuer defaults in making the redemption payment, interest on Notes called for redemption ceases to accrue on and after the Redemption Date;</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paragraph 5 of the Notes is the provision of the Notes pursuant to which the redemption is occurring;</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Notes that are being redeemed;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conditions precedent to such redemption in reasonable detail; and</w:t>
      </w:r>
    </w:p>
    <w:p>
      <w:pPr>
        <w:spacing w:after="0" w:line="117" w:lineRule="exact"/>
        <w:rPr>
          <w:rFonts w:ascii="Times New Roman" w:cs="Times New Roman" w:eastAsia="Times New Roman" w:hAnsi="Times New Roman"/>
          <w:sz w:val="18"/>
          <w:szCs w:val="18"/>
          <w:color w:val="auto"/>
        </w:rPr>
      </w:pPr>
    </w:p>
    <w:p>
      <w:pPr>
        <w:ind w:left="440" w:firstLine="419"/>
        <w:spacing w:after="0" w:line="282" w:lineRule="auto"/>
        <w:tabs>
          <w:tab w:leader="none" w:pos="120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representation is made as to the correctness or accuracy of the CUSIP or ISIN numbers printed in the notice or on the Notes, and that reliance may be placed only on the other identification numbers printed on the Notes.</w:t>
      </w:r>
    </w:p>
    <w:p>
      <w:pPr>
        <w:spacing w:after="0" w:line="162" w:lineRule="exact"/>
        <w:rPr>
          <w:sz w:val="20"/>
          <w:szCs w:val="20"/>
          <w:color w:val="auto"/>
        </w:rPr>
      </w:pPr>
    </w:p>
    <w:p>
      <w:pPr>
        <w:jc w:val="both"/>
        <w:ind w:right="280" w:firstLine="991"/>
        <w:spacing w:after="0" w:line="266" w:lineRule="auto"/>
        <w:rPr>
          <w:sz w:val="20"/>
          <w:szCs w:val="20"/>
          <w:color w:val="auto"/>
        </w:rPr>
      </w:pPr>
      <w:r>
        <w:rPr>
          <w:rFonts w:ascii="Times New Roman" w:cs="Times New Roman" w:eastAsia="Times New Roman" w:hAnsi="Times New Roman"/>
          <w:sz w:val="18"/>
          <w:szCs w:val="18"/>
          <w:color w:val="auto"/>
        </w:rPr>
        <w:t>At the Issuer’s written request made at least five Business Days prior to the date on which notice is to be given (unless a shorter notice shall be agreed to in writing by the Trustee), together with the notice of redemption to be given, the Trustee shall give the notice of redemption in the Issuer’s name and at the Issuer’s sole expense.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51" w:name="page52"/>
    <w:bookmarkEnd w:id="51"/>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notice of redemption may, at the Issuer’s discretion, be subject to one or more conditions precedent with respect to completion of a corporate transaction (including, but not limited to, any merger, acquisition, disposition, asset sale or corporate restructuring or reorganization) or financing (including, but not limited to, any incurrence of Indebtedness (or entering into a commitment with respect thereto), Sale and Leaseback Transaction, issuance of securities, equity offering or contribution, liability management transaction or other capital raise) and may be given prior to the completion thereof. If any notice of redemption is subject to one or more conditions precedent, the notice shall describe each condition, and the notice may be rescinded in the event that any or all of the conditions shall not have been satisfied by the Redemption Date if the Issuer delivers an Officer’s Certificate to the Trustee describing the failure of the condition in reasonable detail and rescinding the redemption. The Issuer may provide in such notice that payment of the redemption price and performance of the Issuer’s obligations with respect to such redemption may be performed by another Person. The Trustee shall promptly provide a copy of such Officer’s Certificate to the Holders in the same manner in which the notice of redemption was given.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Effect of Notice of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Once the notice of redemption described in Section 3.03 is sent and subject to the proviso to this sentence, the series of Notes called for redemption become due and payable on the Redemption Date and at the redemption price, including any premium, plus interest accrued to the Redemption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any redemption and notice thereof pursuant to this Indenture may, pursuant to the last paragraph of Section 3.03, be subject to one or more conditions precedent, and if the notice is rescinded in the event that any or all of the conditions shall not have been satisfied by the Redemption Date, the Issuer shall have no obligation to redeem Notes on such Redemption Date. Upon surrender to the Paying Agent, such Notes shall be paid at the redemption price, including any premium, plus interest accrued to the Redemption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Redemption Date is after a regular record date and on or prior to the Interest Payment Date, the accrued interest shall be payable to the Holder of the redeemed Notes registered on the relevant record date;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if a Redemption Date is a Legal Holiday, payment shall be made on the next succeeding Business Day and no interest shall accrue for the period from such Redemption Date to such succeeding Business Day.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Deposit of Redemption Price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60" w:firstLine="991"/>
        <w:spacing w:after="0" w:line="266" w:lineRule="auto"/>
        <w:rPr>
          <w:sz w:val="20"/>
          <w:szCs w:val="20"/>
          <w:color w:val="auto"/>
        </w:rPr>
      </w:pPr>
      <w:r>
        <w:rPr>
          <w:rFonts w:ascii="Times New Roman" w:cs="Times New Roman" w:eastAsia="Times New Roman" w:hAnsi="Times New Roman"/>
          <w:sz w:val="18"/>
          <w:szCs w:val="18"/>
          <w:color w:val="auto"/>
        </w:rPr>
        <w:t>On or prior to 10:00 A.M., New York City time, on each Redemption Date, the Issuer shall deposit with the Paying Agent U.S. Dollars sufficient to pay the redemption price of, including premium, if any, and accrued interest on any and all Notes to be redeemed on that date (other than Notes or portions thereof called for redemption on that date which have been delivered by the Issuer to the Trustee for cancellation).</w:t>
      </w:r>
    </w:p>
    <w:p>
      <w:pPr>
        <w:spacing w:after="0" w:line="176"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On and after any Redemption Date, if money sufficient to pay the redemption price of, including premium, if any, and accrued interest on all Notes called for redemption shall have been made available in accordance with the immediately preceding paragraph, the Notes called for redemption will cease to accrue interest and the only right of the Holders of such Notes will be to receive payment of the redemption price of and, subject to the first proviso in Section</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20"/>
          </w:cols>
          <w:pgMar w:left="440" w:top="270" w:right="539" w:bottom="1440" w:gutter="0" w:footer="0" w:header="0"/>
        </w:sectPr>
      </w:pPr>
    </w:p>
    <w:bookmarkStart w:id="52" w:name="page53"/>
    <w:bookmarkEnd w:id="52"/>
    <w:p>
      <w:pPr>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3.04, accrued and unpaid interest on such Notes to the Redemption Date. If any Note surrendered for redemption shall not be so paid, interest will be paid, from the Redemption Date until such redemption payment is made, on the unpaid principal of the Note and (to the extent permitted by applicable law) any interest not paid on such unpaid principal, in each case at the rate and in the manner provided in the Notes.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Notes Redeemed in Part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Upon surrender of a Note that is redeemed in part, the Issuer shall execute and, upon receipt of a written order of the Issuer in the form of an Officer’s Certificate in accordance with Section 2.01, the Trustee shall authenticate for the Holder thereof a new Note equal in principal amount to the unredeemed portion of the Note surrendered.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FOUR</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COVENANTS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Payment of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60" w:firstLine="991"/>
        <w:spacing w:after="0" w:line="266" w:lineRule="auto"/>
        <w:rPr>
          <w:sz w:val="20"/>
          <w:szCs w:val="20"/>
          <w:color w:val="auto"/>
        </w:rPr>
      </w:pPr>
      <w:r>
        <w:rPr>
          <w:rFonts w:ascii="Times New Roman" w:cs="Times New Roman" w:eastAsia="Times New Roman" w:hAnsi="Times New Roman"/>
          <w:sz w:val="18"/>
          <w:szCs w:val="18"/>
          <w:color w:val="auto"/>
        </w:rPr>
        <w:t>The Issuer shall pay the principal of and interest on the Notes on the dates and in the manner provided in the Notes and this Indenture. An installment of principal or interest shall be considered paid on the date it is due if the Trustee or the Paying Agents hold by 10:00 A.M. Eastern Time on that date U.S. Dollars designated for and sufficient to pay such installment.</w:t>
      </w:r>
    </w:p>
    <w:p>
      <w:pPr>
        <w:spacing w:after="0" w:line="176"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color w:val="auto"/>
        </w:rPr>
        <w:t>The Issuer shall pay interest on overdue principal (including post-petition interest in a proceeding under any Bankruptcy Law), and overdue interest, to the extent lawful, at the rate specified in the Notes.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Maintenance of Office or Agency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87"/>
        <w:spacing w:after="0" w:line="258" w:lineRule="auto"/>
        <w:tabs>
          <w:tab w:leader="none" w:pos="123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maintain an office or agency (which may be an office of the Trustee or an Affiliate of the Trustee or Registrar) where Notes may be surrendered for registration of transfer or for exchange and where notices and demands to or upon the Issuer in respect of the Notes and this Indenture may be served. The Issuer shall give prompt written notice to the Trustee of the location, and any change in the location, of such office or agency. If at any time the Issuer shall fail to maintain any such required office or agency or shall fail to furnish the Trustee with the address thereof, such presentations, surrenders, notices and demands may be made or served at the Corporate Trust Office of the Trustee.</w:t>
      </w:r>
    </w:p>
    <w:p>
      <w:pPr>
        <w:spacing w:after="0" w:line="183" w:lineRule="exact"/>
        <w:rPr>
          <w:rFonts w:ascii="Times New Roman" w:cs="Times New Roman" w:eastAsia="Times New Roman" w:hAnsi="Times New Roman"/>
          <w:sz w:val="18"/>
          <w:szCs w:val="18"/>
          <w:color w:val="auto"/>
        </w:rPr>
      </w:pPr>
    </w:p>
    <w:p>
      <w:pPr>
        <w:ind w:right="20" w:firstLine="987"/>
        <w:spacing w:after="0" w:line="266" w:lineRule="auto"/>
        <w:tabs>
          <w:tab w:leader="none" w:pos="124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may also from time to time designate one or more other offices or agencies where the Notes may be presented or surrendered for any or all such purposes and may from time to time rescind such designations. The Issuer shall give prompt written notice to the Trustee of any such designation or rescission and of any change in the location of any such other office or agency.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80"/>
          </w:cols>
          <w:pgMar w:left="440" w:top="270" w:right="479" w:bottom="1440" w:gutter="0" w:footer="0" w:header="0"/>
        </w:sectPr>
      </w:pPr>
    </w:p>
    <w:bookmarkStart w:id="53" w:name="page54"/>
    <w:bookmarkEnd w:id="5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4.03. </w:t>
      </w:r>
      <w:r>
        <w:rPr>
          <w:rFonts w:ascii="Times New Roman" w:cs="Times New Roman" w:eastAsia="Times New Roman" w:hAnsi="Times New Roman"/>
          <w:sz w:val="18"/>
          <w:szCs w:val="18"/>
          <w:u w:val="single" w:color="auto"/>
          <w:color w:val="auto"/>
        </w:rPr>
        <w:t>Legal Existence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Except as permitted by Article Five, the Issuer shall do or cause to be done all things necessary to preserve and keep in full force and effect</w:t>
      </w:r>
    </w:p>
    <w:p>
      <w:pPr>
        <w:spacing w:after="0" w:line="27" w:lineRule="exact"/>
        <w:rPr>
          <w:sz w:val="20"/>
          <w:szCs w:val="20"/>
          <w:color w:val="auto"/>
        </w:rPr>
      </w:pPr>
    </w:p>
    <w:p>
      <w:pPr>
        <w:ind w:left="4" w:right="20" w:hanging="4"/>
        <w:spacing w:after="0" w:line="252" w:lineRule="auto"/>
        <w:tabs>
          <w:tab w:leader="none" w:pos="21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its legal existence, and the corporate, partnership or other existence of each Subsidiary, in accordance with the respective organizational documents (as the same may be amended from time to time) of the Issuer and each such Subsidiary, and (ii) the material rights (charter and statutory) and franchises of the Issuer and such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Issuer shall not be required to preserve any such right, franchise, or the corporate, partnership or other existence of any of its Subsidiaries if the Board of Directors of the Issuer or such Subsidiary shall determine that the preservation thereof is no longer desirable in the conduct of the business of the Issuer and its Subsidiaries, taken as a whole, and that the loss thereof is not adverse in any material respect to the Holders.</w:t>
      </w:r>
    </w:p>
    <w:p>
      <w:pPr>
        <w:spacing w:after="0" w:line="1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Waiver of Stay, Extension or Usury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991"/>
        <w:spacing w:after="0" w:line="255" w:lineRule="auto"/>
        <w:rPr>
          <w:sz w:val="20"/>
          <w:szCs w:val="20"/>
          <w:color w:val="auto"/>
        </w:rPr>
      </w:pPr>
      <w:r>
        <w:rPr>
          <w:rFonts w:ascii="Times New Roman" w:cs="Times New Roman" w:eastAsia="Times New Roman" w:hAnsi="Times New Roman"/>
          <w:sz w:val="18"/>
          <w:szCs w:val="18"/>
          <w:color w:val="auto"/>
        </w:rPr>
        <w:t>Each of the Issuer and the Guarantors covenants (to the extent that it may lawfully do so) that it shall not at any time insist upon, or plead (as a defense or otherwise) or in any manner whatsoever claim or take the benefit or advantage of, any stay or extension law or any usury law or other law which would prohibit or forgive the Issuer and the Guarantors from paying all or any portion of the principal of, premium, if any, and/or interest on the Notes as contemplated herein, wherever enacted, now or at any time hereafter in force, or which may affect the covenants or the performance of this Indenture; and (to the extent that they may lawfully do so) the Issuer and the Guarantors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987"/>
        <w:spacing w:after="0" w:line="258" w:lineRule="auto"/>
        <w:tabs>
          <w:tab w:leader="none" w:pos="12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deliver to the Trustee, within 120 days after the end of each Fiscal Year, an Officer’s Certificate (as enumerated by and in compliance with Section 314(a)(4) of the TIA) stating that such Officer has conducted or supervised a review of the activities the Issuer and its Subsidiaries and the Issuer’s and its Subsidiaries’ performance under this Indenture during such Fiscal Year, and further stating that, to such Officer’s knowledge, based upon such review, the Issuer has fulfilled all obligations under this Indenture or, if there has been a Default under this Indenture that is continuing, a description of the event and what action the Issuer is taking or propose to take with respect thereto.</w:t>
      </w:r>
    </w:p>
    <w:p>
      <w:pPr>
        <w:spacing w:after="0" w:line="183" w:lineRule="exact"/>
        <w:rPr>
          <w:rFonts w:ascii="Times New Roman" w:cs="Times New Roman" w:eastAsia="Times New Roman" w:hAnsi="Times New Roman"/>
          <w:sz w:val="18"/>
          <w:szCs w:val="18"/>
          <w:color w:val="auto"/>
        </w:rPr>
      </w:pPr>
    </w:p>
    <w:p>
      <w:pPr>
        <w:ind w:left="4" w:right="180" w:firstLine="987"/>
        <w:spacing w:after="0" w:line="282" w:lineRule="auto"/>
        <w:tabs>
          <w:tab w:leader="none" w:pos="125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deliver to the Trustee, within 10 Business Days after an executive officer of the Issuer becomes aware of any Default or Event of Default, a statement specifying such Default or Event of Default.</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provide written notice to the Trustee of any change in the Issuer’s Fiscal Year.</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24"/>
          </w:cols>
          <w:pgMar w:left="436" w:top="270"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4.06.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The Issuer shall, and shall cause each of its Subsidiaries to, pay prior to delinquency all material taxes, assessments, and governmental levies;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neither the Issuer nor any of its Subsidiaries shall be required to pay or discharge or cause to be paid or discharged any such tax, assessment, charge or claim whose amount, applicability or validity is being contested in good faith by appropriate proceedings.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u w:val="single" w:color="auto"/>
          <w:color w:val="auto"/>
        </w:rPr>
        <w:t>Repurchase at the Option of Holders upon Change of Control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87"/>
        <w:spacing w:after="0" w:line="261" w:lineRule="auto"/>
        <w:tabs>
          <w:tab w:leader="none" w:pos="123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 Change of Control or, at the Issuer’s option, prior to the consummation of a Change of Control but after a transaction that would constitute a Change of Control upon consummation is publicly announced, the Issuer will make an offer, as described below (the “</w:t>
      </w:r>
      <w:r>
        <w:rPr>
          <w:rFonts w:ascii="Times New Roman" w:cs="Times New Roman" w:eastAsia="Times New Roman" w:hAnsi="Times New Roman"/>
          <w:sz w:val="18"/>
          <w:szCs w:val="18"/>
          <w:u w:val="single" w:color="auto"/>
          <w:color w:val="auto"/>
        </w:rPr>
        <w:t>Change of Control Offer</w:t>
      </w:r>
      <w:r>
        <w:rPr>
          <w:rFonts w:ascii="Times New Roman" w:cs="Times New Roman" w:eastAsia="Times New Roman" w:hAnsi="Times New Roman"/>
          <w:sz w:val="18"/>
          <w:szCs w:val="18"/>
          <w:color w:val="auto"/>
        </w:rPr>
        <w:t>”), to the Holders of all of each series of outstanding Notes at an offer price in cash equal to 101% of the principal amount tendered, plus accrued and unpaid interest, if any, thereon to, but not including, the date of purchase (the “</w:t>
      </w:r>
      <w:r>
        <w:rPr>
          <w:rFonts w:ascii="Times New Roman" w:cs="Times New Roman" w:eastAsia="Times New Roman" w:hAnsi="Times New Roman"/>
          <w:sz w:val="18"/>
          <w:szCs w:val="18"/>
          <w:u w:val="single" w:color="auto"/>
          <w:color w:val="auto"/>
        </w:rPr>
        <w:t>Change of Control Payment</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30 days following any Change of Control or, at the Issuer’s option, prior to the consummation of such Change of Control but after the public announcement of a transaction that would constitute a Change of Control upon consummation thereof, the Issuer will mail (or to the extent permitted or required by applicable Depositary procedures or regulations with respect to each series of global Notes, send electronically) a notice to each Holder and the Trustee. The notice shall describe the transaction or transactions that constitute, or are expected to constitute, the Change of Control and offer to repurchase each series of Notes on the purchase date specified in such notice (which must be no earlier than 10 days nor later than 60 days from the date such notice is mailed or sent electronically, other than as required by law) (the “</w:t>
      </w:r>
      <w:r>
        <w:rPr>
          <w:rFonts w:ascii="Times New Roman" w:cs="Times New Roman" w:eastAsia="Times New Roman" w:hAnsi="Times New Roman"/>
          <w:sz w:val="18"/>
          <w:szCs w:val="18"/>
          <w:u w:val="single" w:color="auto"/>
          <w:color w:val="auto"/>
        </w:rPr>
        <w:t>Change of Control Payment Date</w:t>
      </w:r>
      <w:r>
        <w:rPr>
          <w:rFonts w:ascii="Times New Roman" w:cs="Times New Roman" w:eastAsia="Times New Roman" w:hAnsi="Times New Roman"/>
          <w:sz w:val="18"/>
          <w:szCs w:val="18"/>
          <w:color w:val="auto"/>
        </w:rPr>
        <w:t>”) pursuant to the procedures required by this Indenture and described in such notice. Such obligation will not continue after a discharge of the Issuer or defeasance from its obligations with respect to each series of Notes. Such notice shall state:</w:t>
      </w:r>
    </w:p>
    <w:p>
      <w:pPr>
        <w:spacing w:after="0" w:line="83" w:lineRule="exact"/>
        <w:rPr>
          <w:rFonts w:ascii="Times New Roman" w:cs="Times New Roman" w:eastAsia="Times New Roman" w:hAnsi="Times New Roman"/>
          <w:sz w:val="18"/>
          <w:szCs w:val="18"/>
          <w:color w:val="auto"/>
        </w:rPr>
      </w:pPr>
    </w:p>
    <w:p>
      <w:pPr>
        <w:ind w:left="440" w:right="740" w:firstLine="419"/>
        <w:spacing w:after="0" w:line="282" w:lineRule="auto"/>
        <w:tabs>
          <w:tab w:leader="none" w:pos="111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Change of Control Offer is being made pursuant to this Section 4.07 and that all Notes validly tendered and not validly withdrawn will be accepted for payment;</w:t>
      </w:r>
    </w:p>
    <w:p>
      <w:pPr>
        <w:spacing w:after="0" w:line="53"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1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of Control Payment and the Change of Control Payment Date (which shall be no earlier than 30 days nor later than 60 days from the date such notice is sent, other than as may be required by law);</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Note not tendered will continue to accrue interest;</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1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the Issuer defaults in making payment therefor, any Note accepted for payment pursuant to the Change of Control Offer shall cease to accrue interest after the Change of Control Payment Date;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70" w:right="459" w:bottom="1440" w:gutter="0" w:footer="0" w:header="0"/>
        </w:sectPr>
      </w:pPr>
    </w:p>
    <w:bookmarkStart w:id="55" w:name="page56"/>
    <w:bookmarkEnd w:id="55"/>
    <w:p>
      <w:pPr>
        <w:ind w:left="440" w:right="140" w:firstLine="419"/>
        <w:spacing w:after="0" w:line="266" w:lineRule="auto"/>
        <w:tabs>
          <w:tab w:leader="none" w:pos="111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Holders electing to have a Note purchased pursuant to the Change of Control Offer will be required to surrender the Note, with the form entitled “Option of Holder to Elect Purchase” on the reverse of the Note completed, to the Paying Agent and Registrar for the Note at the address specified in the notice prior to the close of business on the Business Day prior to the Change of Control Payment Date;</w:t>
      </w:r>
    </w:p>
    <w:p>
      <w:pPr>
        <w:spacing w:after="0" w:line="67" w:lineRule="exact"/>
        <w:rPr>
          <w:rFonts w:ascii="Times New Roman" w:cs="Times New Roman" w:eastAsia="Times New Roman" w:hAnsi="Times New Roman"/>
          <w:sz w:val="18"/>
          <w:szCs w:val="18"/>
          <w:color w:val="auto"/>
        </w:rPr>
      </w:pPr>
    </w:p>
    <w:p>
      <w:pPr>
        <w:ind w:left="440" w:right="160" w:firstLine="419"/>
        <w:spacing w:after="0" w:line="266" w:lineRule="auto"/>
        <w:tabs>
          <w:tab w:leader="none" w:pos="111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will be entitled to withdraw their election if the Paying Agent receives, not later than the third Business Day prior to the Change of Control Payment Date, a telegram, telex, facsimile transmission or letter setting forth the name of the Holder, the principal amount of the Notes the Holder delivered for purchase and a statement that such Holder is withdrawing its election to have such Note purchased;</w:t>
      </w:r>
    </w:p>
    <w:p>
      <w:pPr>
        <w:spacing w:after="0" w:line="67" w:lineRule="exact"/>
        <w:rPr>
          <w:rFonts w:ascii="Times New Roman" w:cs="Times New Roman" w:eastAsia="Times New Roman" w:hAnsi="Times New Roman"/>
          <w:sz w:val="18"/>
          <w:szCs w:val="18"/>
          <w:color w:val="auto"/>
        </w:rPr>
      </w:pPr>
    </w:p>
    <w:p>
      <w:pPr>
        <w:jc w:val="both"/>
        <w:ind w:left="440" w:right="20" w:firstLine="419"/>
        <w:spacing w:after="0" w:line="266" w:lineRule="auto"/>
        <w:tabs>
          <w:tab w:leader="none" w:pos="111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Holders whose Notes are purchased only in part will be issued new Notes in a principal amount equal to the unpurchased portion of the Notes surrendered;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each Note purchased and each new Note issued shall be in a principal amount of $2,000 or integral multiples of $1,000 in excess of $2,000; and</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circumstances and relevant facts regarding such Change of Control.</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Change of Control Payment Date, the Issuer shall, to the extent lawful:</w:t>
      </w:r>
    </w:p>
    <w:p>
      <w:pPr>
        <w:spacing w:after="0" w:line="117" w:lineRule="exact"/>
        <w:rPr>
          <w:sz w:val="20"/>
          <w:szCs w:val="20"/>
          <w:color w:val="auto"/>
        </w:rPr>
      </w:pPr>
    </w:p>
    <w:p>
      <w:pPr>
        <w:ind w:left="440" w:right="340" w:firstLine="419"/>
        <w:spacing w:after="0" w:line="282" w:lineRule="auto"/>
        <w:tabs>
          <w:tab w:leader="none" w:pos="111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thereof (in minimum amounts of $2,000 or an integral multiple of $1,000 in excess thereof) properly tendered pursuant to the Change of Control Offer;</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Payment in respect of all Notes or portions thereof so tendered;</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98" w:lineRule="exact"/>
        <w:rPr>
          <w:rFonts w:ascii="Times New Roman" w:cs="Times New Roman" w:eastAsia="Times New Roman" w:hAnsi="Times New Roman"/>
          <w:sz w:val="18"/>
          <w:szCs w:val="18"/>
          <w:color w:val="auto"/>
        </w:rPr>
      </w:pPr>
    </w:p>
    <w:p>
      <w:pPr>
        <w:ind w:left="440" w:right="360" w:firstLine="419"/>
        <w:spacing w:after="0" w:line="282" w:lineRule="auto"/>
        <w:tabs>
          <w:tab w:leader="none" w:pos="111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for cancellation all Notes so accepted together with an Officer’s Certificate stating the aggregate principal amount of Notes (or portions thereof) being purchased by the Issuer.</w:t>
      </w:r>
    </w:p>
    <w:p>
      <w:pPr>
        <w:spacing w:after="0" w:line="162"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Promptly following the deposit with the Paying Agent of the moneys described in Section 4.07(c)(2) above and the delivery of the Officer’s Certificate described in Section 4.07(c)(3) above, the Paying Agent will remit to each Holder of Notes so tendered the Change of Control Payment for such Notes, and the Issuer will execute and, upon receipt of a written order of the Issuer in the form of an Officer’s Certificate in accordance with Section 2.01, the Trustee will promptly authenticate and deliver (or cause to be transferred by book entry) to each Holder of Notes a new Note equal in principal amount to any unpurchased portion of the Notes surrendered, if 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such new Note will be in a principal amount of $2,000 or an integral multiple of $1,000 in excess thereof. The Issuer will publicly announce the results of the Change of Control Offer on or as soon as reasonably practicable after the Change of Control Payment Date.</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80"/>
          </w:cols>
          <w:pgMar w:left="440" w:top="270" w:right="479" w:bottom="1440" w:gutter="0" w:footer="0" w:header="0"/>
        </w:sectPr>
      </w:pPr>
    </w:p>
    <w:bookmarkStart w:id="56" w:name="page57"/>
    <w:bookmarkEnd w:id="56"/>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Holders of not less than 90% in aggregate principal amount of the then outstanding Notes of a series validly tender and do not withdraw such Notes in a Change of Control Offer and the Issuer, or any other Person making a Change of Control Offer in lieu of the Issuer as described below, purchases all of the applicable Notes validly tendered and not withdrawn by such Holders, the Issuer will have the right, upon not less than 10 nor more than 30 days’ prior notice, given not more than 10 days following such purchase pursuant to the Change of Control Offer described above, to redeem all such Notes of such series that remain outstanding following such purchase at a redemption price in cash equal to the applicable Change of Control Payment plus, to the extent not included in the Change of Control Payment, accrued and unpaid interest to, but not including, the redemption date.</w:t>
      </w:r>
    </w:p>
    <w:p>
      <w:pPr>
        <w:spacing w:after="0" w:line="187" w:lineRule="exact"/>
        <w:rPr>
          <w:sz w:val="20"/>
          <w:szCs w:val="20"/>
          <w:color w:val="auto"/>
        </w:rPr>
      </w:pPr>
    </w:p>
    <w:p>
      <w:pPr>
        <w:ind w:right="640" w:firstLine="991"/>
        <w:spacing w:after="0" w:line="282" w:lineRule="auto"/>
        <w:rPr>
          <w:sz w:val="20"/>
          <w:szCs w:val="20"/>
          <w:color w:val="auto"/>
        </w:rPr>
      </w:pPr>
      <w:r>
        <w:rPr>
          <w:rFonts w:ascii="Times New Roman" w:cs="Times New Roman" w:eastAsia="Times New Roman" w:hAnsi="Times New Roman"/>
          <w:sz w:val="18"/>
          <w:szCs w:val="18"/>
          <w:color w:val="auto"/>
        </w:rPr>
        <w:t>Upon the payment of the Change of Control Payment, the Trustee shall, subject to the provisions of Section 2.16, return the Notes purchased to the Issuer for cancellation. The Trustee may act as the Paying Agent for purposes of any Change of Control Offer.</w:t>
      </w:r>
    </w:p>
    <w:p>
      <w:pPr>
        <w:spacing w:after="0" w:line="162" w:lineRule="exact"/>
        <w:rPr>
          <w:sz w:val="20"/>
          <w:szCs w:val="20"/>
          <w:color w:val="auto"/>
        </w:rPr>
      </w:pPr>
    </w:p>
    <w:p>
      <w:pPr>
        <w:ind w:right="40" w:firstLine="987"/>
        <w:spacing w:after="0" w:line="254" w:lineRule="auto"/>
        <w:tabs>
          <w:tab w:leader="none" w:pos="124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not be required to make a Change of Control Offer upon a Change of Control if (1) a third party makes the Change of Control Offer in the manner, at the times and otherwise in compliance with the requirements set forth in this Section 4.07 with respect to a Change of Control Offer made by the Issuer and purchases all Notes validly tendered and not withdrawn under such Change of Control Offer or (2) notice of redemption has been given or will be given pursuant to this Indenture as described in Article Three, prior to the date the Issuer is required to send notice of the Change of Control Offer to the Holders of the Notes, unless and until there is a default in payment of the applicable redemption price. Notwithstanding anything to the contrary contained herein, a Change of Control Offer may be made in advance of a Change of Control, conditioned upon the consummation of such Change of Control, if a definitive agreement is in place for the Change of Control at the time the Change of Control Offer is made and such Change of Control Offer is otherwise made in compliance with the provisions of this Section 4.07.</w:t>
      </w:r>
    </w:p>
    <w:p>
      <w:pPr>
        <w:spacing w:after="0" w:line="191" w:lineRule="exact"/>
        <w:rPr>
          <w:rFonts w:ascii="Times New Roman" w:cs="Times New Roman" w:eastAsia="Times New Roman" w:hAnsi="Times New Roman"/>
          <w:sz w:val="18"/>
          <w:szCs w:val="18"/>
          <w:color w:val="auto"/>
        </w:rPr>
      </w:pPr>
    </w:p>
    <w:p>
      <w:pPr>
        <w:ind w:right="80" w:firstLine="987"/>
        <w:spacing w:after="0" w:line="258" w:lineRule="auto"/>
        <w:tabs>
          <w:tab w:leader="none" w:pos="123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comply with the requirements of Rule 14e-1 under the Exchange Act and any other securities laws and regulations thereunder to the extent such laws and regulations are applicable in connection with the repurchase of the Notes as a result of a Change of Control. To the extent that the provisions of any securities laws or regulations conflict with provisions of this Section 4.07, the Issuer will comply with the applicable securities laws and regulations and will not be deemed to have breached its obligations under this paragraph by virtue of its compliance with such securities laws or regulations.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u w:val="single" w:color="auto"/>
          <w:color w:val="auto"/>
        </w:rPr>
        <w:t>Limitation on Asset Disposition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(a) The Parent Guarantor shall not, and shall not permit any of its Subsidiaries to, directly or indirectly, consummate any Asset Disposition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w:t>
      </w:r>
    </w:p>
    <w:p>
      <w:pPr>
        <w:spacing w:after="0" w:line="99" w:lineRule="exact"/>
        <w:rPr>
          <w:sz w:val="20"/>
          <w:szCs w:val="20"/>
          <w:color w:val="auto"/>
        </w:rPr>
      </w:pPr>
    </w:p>
    <w:p>
      <w:pPr>
        <w:ind w:left="440" w:right="20" w:firstLine="419"/>
        <w:spacing w:after="0" w:line="266" w:lineRule="auto"/>
        <w:tabs>
          <w:tab w:leader="none" w:pos="111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Guarantor or such Subsidiary receives consideration at least equal to the fair market value (such fair market value to be determined in good faith by the Issuer on the date of contractually agreeing to such Asset Disposition) of the equity or assets subject to such Asset Disposition;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80"/>
          </w:cols>
          <w:pgMar w:left="440" w:top="270" w:right="479" w:bottom="1440" w:gutter="0" w:footer="0" w:header="0"/>
        </w:sectPr>
      </w:pPr>
    </w:p>
    <w:bookmarkStart w:id="57" w:name="page58"/>
    <w:bookmarkEnd w:id="57"/>
    <w:p>
      <w:pPr>
        <w:ind w:left="440" w:right="640" w:firstLine="419"/>
        <w:spacing w:after="0" w:line="282" w:lineRule="auto"/>
        <w:tabs>
          <w:tab w:leader="none" w:pos="111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least 75% of the consideration received by the Parent Guarantor or such Subsidiary is in the form of cash or cash equivalents, Additional Assets or any combination thereof (collectively, the “</w:t>
      </w:r>
      <w:r>
        <w:rPr>
          <w:rFonts w:ascii="Times New Roman" w:cs="Times New Roman" w:eastAsia="Times New Roman" w:hAnsi="Times New Roman"/>
          <w:sz w:val="18"/>
          <w:szCs w:val="18"/>
          <w:u w:val="single" w:color="auto"/>
          <w:color w:val="auto"/>
        </w:rPr>
        <w:t>Cash Consideration</w:t>
      </w:r>
      <w:r>
        <w:rPr>
          <w:rFonts w:ascii="Times New Roman" w:cs="Times New Roman" w:eastAsia="Times New Roman" w:hAnsi="Times New Roman"/>
          <w:sz w:val="18"/>
          <w:szCs w:val="18"/>
          <w:color w:val="auto"/>
        </w:rPr>
        <w:t>”); and</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24" w:lineRule="auto"/>
        <w:tabs>
          <w:tab w:leader="none" w:pos="111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365 days, including the 365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from the later of the date of such Asset Disposition or the receipt of such Net Available Cash, an amount equal to 100% of the Net Available Cash from such Asset Disposition is applied by the Parent Guarantor (or such Subsidiary, as the case may be) at its option:</w:t>
      </w:r>
    </w:p>
    <w:p>
      <w:pPr>
        <w:spacing w:after="0" w:line="90" w:lineRule="exact"/>
        <w:rPr>
          <w:rFonts w:ascii="Times New Roman" w:cs="Times New Roman" w:eastAsia="Times New Roman" w:hAnsi="Times New Roman"/>
          <w:sz w:val="18"/>
          <w:szCs w:val="18"/>
          <w:color w:val="auto"/>
        </w:rPr>
      </w:pPr>
    </w:p>
    <w:p>
      <w:pPr>
        <w:ind w:left="980" w:right="160" w:firstLine="408"/>
        <w:spacing w:after="0" w:line="261" w:lineRule="auto"/>
        <w:tabs>
          <w:tab w:leader="none" w:pos="167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prepay, repay, redeem or purchase Secured Debt of the Issuer or any Guarantor or Indebtedness of a Wholly Owned Subsidiary of the Parent Guarantor that is not a Guarantor (in each case other than Indebtedness owed to the Issuer or an Affiliate of the Issuer);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prepayment, repayment, redemption or purchase permanently retires, or reduces the related loan commitment (if any) for, such Indebtedness in an amount equal to the principal amount so prepaid, repaid, redeemed or purchased;</w:t>
      </w:r>
    </w:p>
    <w:p>
      <w:pPr>
        <w:spacing w:after="0" w:line="69" w:lineRule="exact"/>
        <w:rPr>
          <w:rFonts w:ascii="Times New Roman" w:cs="Times New Roman" w:eastAsia="Times New Roman" w:hAnsi="Times New Roman"/>
          <w:sz w:val="18"/>
          <w:szCs w:val="18"/>
          <w:color w:val="auto"/>
        </w:rPr>
      </w:pPr>
    </w:p>
    <w:p>
      <w:pPr>
        <w:ind w:left="980" w:firstLine="408"/>
        <w:spacing w:after="0" w:line="261" w:lineRule="auto"/>
        <w:tabs>
          <w:tab w:leader="none" w:pos="166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acquire Additional Assets or to make any other capital expenditures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requirement shall be deemed satisfied if the Parent Guarantor (or such Subsidiary, as the case may be) by the end of such 365-day period has entered into a binding agreement under which it is contractually committed to acquire Additional Assets and such acquisition is consummated within 180 days from the end of the 365-day period);</w:t>
      </w:r>
    </w:p>
    <w:p>
      <w:pPr>
        <w:spacing w:after="0" w:line="73" w:lineRule="exact"/>
        <w:rPr>
          <w:rFonts w:ascii="Times New Roman" w:cs="Times New Roman" w:eastAsia="Times New Roman" w:hAnsi="Times New Roman"/>
          <w:sz w:val="18"/>
          <w:szCs w:val="18"/>
          <w:color w:val="auto"/>
        </w:rPr>
      </w:pPr>
    </w:p>
    <w:p>
      <w:pPr>
        <w:ind w:left="980" w:right="100" w:firstLine="408"/>
        <w:spacing w:after="0" w:line="261" w:lineRule="auto"/>
        <w:tabs>
          <w:tab w:leader="none" w:pos="166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 offer to the Holders of each series of Notes (and to holders of other Pari Passu Indebtedness of the Issuer designated by the Issuer) to purchase such series of Notes (and such other Pari Passu Indebtedness of the Issuer) pursuant to and subject to the conditions contained herein, as set forth below (other than with respect to Excess Proceeds and that such offer may be made at any time prior to the end of such 365-day period), and in the instruments governing such Pari Passu Indebtedness; and</w:t>
      </w:r>
    </w:p>
    <w:p>
      <w:pPr>
        <w:spacing w:after="0" w:line="71" w:lineRule="exact"/>
        <w:rPr>
          <w:rFonts w:ascii="Times New Roman" w:cs="Times New Roman" w:eastAsia="Times New Roman" w:hAnsi="Times New Roman"/>
          <w:sz w:val="18"/>
          <w:szCs w:val="18"/>
          <w:color w:val="auto"/>
        </w:rPr>
      </w:pPr>
    </w:p>
    <w:p>
      <w:pPr>
        <w:ind w:left="980" w:right="320" w:firstLine="408"/>
        <w:spacing w:after="0" w:line="282" w:lineRule="auto"/>
        <w:tabs>
          <w:tab w:leader="none" w:pos="167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of the balance of such Net Available Cash after application in accordance with clauses (A), (B) and (C), for any purpose permitted by the terms of this Indenture.</w:t>
      </w:r>
    </w:p>
    <w:p>
      <w:pPr>
        <w:spacing w:after="0" w:line="162"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Pending application of Net Available Cash pursuant to this Section 4.08, such Net Available Cash shall be applied to temporarily reduce revolving credit Indebtedness or in any manner not prohibited by this Indenture.</w:t>
      </w:r>
    </w:p>
    <w:p>
      <w:pPr>
        <w:spacing w:after="0" w:line="162" w:lineRule="exact"/>
        <w:rPr>
          <w:sz w:val="20"/>
          <w:szCs w:val="20"/>
          <w:color w:val="auto"/>
        </w:rPr>
      </w:pPr>
    </w:p>
    <w:p>
      <w:pPr>
        <w:ind w:left="1240" w:hanging="253"/>
        <w:spacing w:after="0"/>
        <w:tabs>
          <w:tab w:leader="none" w:pos="12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Section 4.08, the following are deemed to be Cash Consideration:</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11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as shown on the Parent Guarantor’s or any of its Subsidiaries’ most recent balance sheet (or in the footnotes thereto or if incurred, accrued or increased subsequent to the date of such balance sheet, such liabilities that would have been reflected on the Parent Guarantor’s or such Subsidiary’s balance sheet or in the</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60"/>
          </w:cols>
          <w:pgMar w:left="440" w:top="270" w:right="499" w:bottom="1440" w:gutter="0" w:footer="0" w:header="0"/>
        </w:sectPr>
      </w:pPr>
    </w:p>
    <w:bookmarkStart w:id="58" w:name="page59"/>
    <w:bookmarkEnd w:id="58"/>
    <w:p>
      <w:pPr>
        <w:ind w:left="4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footnotes thereto if such incurrence, accrual or increase had taken place on or prior to the date of such balance sheet, as determined by the Parent Guarantor), of the Parent Guarantor or such Subsidiary that are assumed by the transferee of any such assets either by operation of law or pursuant to (A) a customary novation agreement that releases the Parent Guarantor or such Subsidiary from further liability or (B) an assignment agreement that includes, in lieu of such a release, the agreement of the transferee or its parent company to indemnify and hold harmless the Issuer or such Subsidiary from and against any loss, liability or cost in respect of such assumed liability;</w:t>
      </w:r>
    </w:p>
    <w:p>
      <w:pPr>
        <w:spacing w:after="0" w:line="75" w:lineRule="exact"/>
        <w:rPr>
          <w:sz w:val="20"/>
          <w:szCs w:val="20"/>
          <w:color w:val="auto"/>
        </w:rPr>
      </w:pPr>
    </w:p>
    <w:p>
      <w:pPr>
        <w:ind w:left="420" w:right="140" w:firstLine="419"/>
        <w:spacing w:after="0" w:line="266" w:lineRule="auto"/>
        <w:tabs>
          <w:tab w:leader="none" w:pos="109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notes or other obligations received by the Parent Guarantor or any of its Subsidiaries from such transferee that are converted by the Parent Guarantor or such Subsidiary into cash or cash equivalents within 360 days after such Asset Disposition, to the extent of the cash and cash equivalents received in that conversion; and</w:t>
      </w:r>
    </w:p>
    <w:p>
      <w:pPr>
        <w:spacing w:after="0" w:line="67" w:lineRule="exact"/>
        <w:rPr>
          <w:rFonts w:ascii="Times New Roman" w:cs="Times New Roman" w:eastAsia="Times New Roman" w:hAnsi="Times New Roman"/>
          <w:sz w:val="18"/>
          <w:szCs w:val="18"/>
          <w:color w:val="auto"/>
        </w:rPr>
      </w:pPr>
    </w:p>
    <w:p>
      <w:pPr>
        <w:ind w:left="420" w:right="80" w:firstLine="419"/>
        <w:spacing w:after="0" w:line="258" w:lineRule="auto"/>
        <w:tabs>
          <w:tab w:leader="none" w:pos="109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Designated Non-cash Consideration received by the Parent Guarantor or any of its Subsidiaries in such Asset Disposition having an aggregate fair market value, taken together with all other Designated Non-cash Consideration received pursuant to this clause that has at that time not been converted into cash or a cash equivalent, not to exceed the greater of (x) $100.0 million and (y) 2.0% of Consolidated Total Assets at the time of the receipt of such Designated Non-cash Consideration (with the fair market value of each item of Designated Non-cash Consideration being measured at the time received and without giving effect to subsequent changes in value).</w:t>
      </w:r>
    </w:p>
    <w:p>
      <w:pPr>
        <w:spacing w:after="0" w:line="183" w:lineRule="exact"/>
        <w:rPr>
          <w:rFonts w:ascii="Times New Roman" w:cs="Times New Roman" w:eastAsia="Times New Roman" w:hAnsi="Times New Roman"/>
          <w:sz w:val="18"/>
          <w:szCs w:val="18"/>
          <w:color w:val="auto"/>
        </w:rPr>
      </w:pPr>
    </w:p>
    <w:p>
      <w:pPr>
        <w:ind w:left="-20" w:right="80" w:firstLine="987"/>
        <w:spacing w:after="0" w:line="252" w:lineRule="auto"/>
        <w:tabs>
          <w:tab w:leader="none" w:pos="121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Net Available Cash not applied or invested as provided above will constitute “</w:t>
      </w:r>
      <w:r>
        <w:rPr>
          <w:rFonts w:ascii="Times New Roman" w:cs="Times New Roman" w:eastAsia="Times New Roman" w:hAnsi="Times New Roman"/>
          <w:sz w:val="18"/>
          <w:szCs w:val="18"/>
          <w:u w:val="single" w:color="auto"/>
          <w:color w:val="auto"/>
        </w:rPr>
        <w:t>Excess Proceeds</w:t>
      </w:r>
      <w:r>
        <w:rPr>
          <w:rFonts w:ascii="Times New Roman" w:cs="Times New Roman" w:eastAsia="Times New Roman" w:hAnsi="Times New Roman"/>
          <w:sz w:val="18"/>
          <w:szCs w:val="18"/>
          <w:color w:val="auto"/>
        </w:rPr>
        <w:t>” (other than any Net Available Cash remaining after the Issuer has made an offer to purchase each series of Notes pursuant to clause (C) above). Within 10 Business Days of the date that the aggregate amount of Excess Proceeds equals or exceeds $100.0 million, the Issuer shall make an offer to purchase each series of Notes (each, an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and shall purchase the series of Notes tendered pursuant to an Offer by the Issuer for the applicable series of Notes and other Pari Passu Indebtedness that contemporaneously requires the purchase, prepayment or redemption of such Indebtedness with the proceeds of sales of assets at a purchase price of 100% of their principal amount without premium, plus accrued but unpaid interest (or, in respect of such other Pari Passu Indebtedness, such lesser price, if any, as may be provided for by the terms of such Pari Passu Indebtedness) to, but excluding, the date such Offer is consummated, in accordance with the procedures (including prorating in the event of oversubscription) set forth in this Indenture and the terms of such other Pari Passu Indebtedness. If any Excess Proceeds remain after consummation of an Offer and the contemporaneous offer with respect to any other Pari Passu Indebtedness contemplated above, the Issuer may use those Excess Proceeds for any purpose not otherwise prohibited by this Indenture. If the aggregate purchase price of the securities tendered exceeds the amount of Excess Proceeds, the Issuer shall allocate the Excess Proceeds between such securities on a pro rata basis and will select the Notes to be purchased on a pro rata basis but in denominations of $2,000 principal amount or integral multiples of $1,000 in excess thereof. The remainder of the Excess Proceeds allocable to the other Pari Passu Indebtedness will be repurchased as provided pursuant to the terms of such Indebtedness. Upon completion of such an Offer to purchase, Excess Proceeds will be deemed to be reset to zero.</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80"/>
          </w:cols>
          <w:pgMar w:left="460" w:top="270" w:right="459" w:bottom="1440" w:gutter="0" w:footer="0" w:header="0"/>
        </w:sectPr>
      </w:pPr>
    </w:p>
    <w:bookmarkStart w:id="59" w:name="page60"/>
    <w:bookmarkEnd w:id="59"/>
    <w:p>
      <w:pPr>
        <w:ind w:right="40" w:firstLine="987"/>
        <w:spacing w:after="0" w:line="258" w:lineRule="auto"/>
        <w:tabs>
          <w:tab w:leader="none" w:pos="124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Issuer shall comply, to the extent applicable, with the requirements of Rule 14e-1 under the Exchange Act and any other securities laws and regulations thereunder to the extent such laws and regulations are applicable in connection with the repurchase of Notes pursuant to this Section 4.08. To the extent that the provisions of any securities laws or regulations conflict with provisions of this Section 4.08, the Issuer shall comply with the applicable securities laws and regulations and shall not be deemed to have breached its obligations under this Section 4.08 by virtue of its compliance with such securities laws or regulations.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u w:val="single" w:color="auto"/>
          <w:color w:val="auto"/>
        </w:rPr>
        <w:t>Limitation on Restricted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The Parent Guarantor will not, and will not permit any of its Subsidiaries to, directly or indirectly, make any Restricted Payment if at the time of such Restricted Payment:</w:t>
      </w:r>
    </w:p>
    <w:p>
      <w:pPr>
        <w:spacing w:after="0" w:line="54" w:lineRule="exact"/>
        <w:rPr>
          <w:sz w:val="20"/>
          <w:szCs w:val="20"/>
          <w:color w:val="auto"/>
        </w:rPr>
      </w:pPr>
    </w:p>
    <w:p>
      <w:pPr>
        <w:ind w:left="1100" w:hanging="241"/>
        <w:spacing w:after="0"/>
        <w:tabs>
          <w:tab w:leader="none" w:pos="11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shall have occurred and be continuing or shall occur as a consequence thereof;</w:t>
      </w:r>
    </w:p>
    <w:p>
      <w:pPr>
        <w:spacing w:after="0" w:line="117" w:lineRule="exact"/>
        <w:rPr>
          <w:rFonts w:ascii="Times New Roman" w:cs="Times New Roman" w:eastAsia="Times New Roman" w:hAnsi="Times New Roman"/>
          <w:sz w:val="18"/>
          <w:szCs w:val="18"/>
          <w:color w:val="auto"/>
        </w:rPr>
      </w:pPr>
    </w:p>
    <w:p>
      <w:pPr>
        <w:ind w:left="440" w:right="680" w:firstLine="419"/>
        <w:spacing w:after="0" w:line="282" w:lineRule="auto"/>
        <w:tabs>
          <w:tab w:leader="none" w:pos="111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such Restricted Payment (including, without limitation, the incurrence of any Indebtedness to finance such Restricted Payment), the Consolidated Fixed Charge Coverage Ratio would be less than 2.00 to 1.00; or</w:t>
      </w:r>
    </w:p>
    <w:p>
      <w:pPr>
        <w:spacing w:after="0" w:line="53"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10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such Restricted Payment, when added to the aggregate amount of all other Restricted Payments made after November 26, 2013 (other than Restricted Payments made pursuant to clause (b), (c), (d), (e), (f), (g) or (h) of the next paragraph), exceeds the sum (the “</w:t>
      </w:r>
      <w:r>
        <w:rPr>
          <w:rFonts w:ascii="Times New Roman" w:cs="Times New Roman" w:eastAsia="Times New Roman" w:hAnsi="Times New Roman"/>
          <w:sz w:val="18"/>
          <w:szCs w:val="18"/>
          <w:u w:val="single" w:color="auto"/>
          <w:color w:val="auto"/>
        </w:rPr>
        <w:t>Restricted Payments Basket</w:t>
      </w:r>
      <w:r>
        <w:rPr>
          <w:rFonts w:ascii="Times New Roman" w:cs="Times New Roman" w:eastAsia="Times New Roman" w:hAnsi="Times New Roman"/>
          <w:sz w:val="18"/>
          <w:szCs w:val="18"/>
          <w:color w:val="auto"/>
        </w:rPr>
        <w:t>”) of (without duplication):</w:t>
      </w:r>
    </w:p>
    <w:p>
      <w:pPr>
        <w:spacing w:after="0" w:line="67" w:lineRule="exact"/>
        <w:rPr>
          <w:rFonts w:ascii="Times New Roman" w:cs="Times New Roman" w:eastAsia="Times New Roman" w:hAnsi="Times New Roman"/>
          <w:sz w:val="18"/>
          <w:szCs w:val="18"/>
          <w:color w:val="auto"/>
        </w:rPr>
      </w:pPr>
    </w:p>
    <w:p>
      <w:pPr>
        <w:ind w:left="980" w:firstLine="408"/>
        <w:spacing w:after="0" w:line="261" w:lineRule="auto"/>
        <w:tabs>
          <w:tab w:leader="none" w:pos="163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50% of Consolidated Net Income of the Parent Guarantor and its Subsidiaries determined in accordance with GAAP for the period (taken as one accounting period) commencing on July 1, 2013 to and including the last day of the fiscal quarter ended immediately prior to the date of such calculation for which consolidated financial statements are available (or, if such Consolidated Net Income shall be a deficit, minus 100% of such aggregate deficit), </w:t>
      </w:r>
      <w:r>
        <w:rPr>
          <w:rFonts w:ascii="Times New Roman" w:cs="Times New Roman" w:eastAsia="Times New Roman" w:hAnsi="Times New Roman"/>
          <w:sz w:val="18"/>
          <w:szCs w:val="18"/>
          <w:i w:val="1"/>
          <w:iCs w:val="1"/>
          <w:color w:val="auto"/>
        </w:rPr>
        <w:t>plus</w:t>
      </w:r>
    </w:p>
    <w:p>
      <w:pPr>
        <w:spacing w:after="0" w:line="71" w:lineRule="exact"/>
        <w:rPr>
          <w:rFonts w:ascii="Times New Roman" w:cs="Times New Roman" w:eastAsia="Times New Roman" w:hAnsi="Times New Roman"/>
          <w:sz w:val="18"/>
          <w:szCs w:val="18"/>
          <w:color w:val="auto"/>
        </w:rPr>
      </w:pPr>
    </w:p>
    <w:p>
      <w:pPr>
        <w:ind w:left="980" w:right="60" w:firstLine="408"/>
        <w:spacing w:after="0" w:line="255" w:lineRule="auto"/>
        <w:tabs>
          <w:tab w:leader="none" w:pos="163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100% of the aggregate net cash proceeds and the fair market value, as determined in good faith by the Parent Guarantor, of property and marketable securities received by the Parent Guarantor from the issuance and sale of Qualified Equity Interests of the Parent Guarantor after November 26, 2013 or from the issue or sale of convertible or exchangeable Disqualified Equity Interests of the Parent Guarantor or convertible or exchangeable debt securities of the Parent Guarantor, in each case that have been converted into or exchanged for Qualified Equity Interests of the Parent Guarantor, other than (A) any such proceeds which are used to redeem any series of Notes in accordance with paragraph 5 of such series of Notes or (B) any such proceeds or assets received from a Subsidiary of the Parent Guarantor, </w:t>
      </w:r>
      <w:r>
        <w:rPr>
          <w:rFonts w:ascii="Times New Roman" w:cs="Times New Roman" w:eastAsia="Times New Roman" w:hAnsi="Times New Roman"/>
          <w:sz w:val="18"/>
          <w:szCs w:val="18"/>
          <w:i w:val="1"/>
          <w:iCs w:val="1"/>
          <w:color w:val="auto"/>
        </w:rPr>
        <w:t>plus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80"/>
          </w:cols>
          <w:pgMar w:left="440" w:top="270" w:right="479" w:bottom="1440" w:gutter="0" w:footer="0" w:header="0"/>
        </w:sectPr>
      </w:pPr>
    </w:p>
    <w:bookmarkStart w:id="60" w:name="page61"/>
    <w:bookmarkEnd w:id="60"/>
    <w:p>
      <w:pPr>
        <w:ind w:left="980" w:right="140" w:firstLine="408"/>
        <w:spacing w:after="0" w:line="261" w:lineRule="auto"/>
        <w:tabs>
          <w:tab w:leader="none" w:pos="163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aggregate amount by which Indebtedness incurred by the Parent Guarantor or any of its Subsidiaries subsequent to November 26, 2013 is reduced on the Parent Guarantor’s consolidated balance sheet upon the conversion or exchange (other than by a Subsidiary of the Parent Guarantor) into Qualified Equity Interests of the Parent Guarantor (less the amount of any cash, or the fair value of assets, distributed by the Parent Guarantor or any Subsidiary upon such conversion or exchange), plus</w:t>
      </w:r>
    </w:p>
    <w:p>
      <w:pPr>
        <w:spacing w:after="0" w:line="71" w:lineRule="exact"/>
        <w:rPr>
          <w:rFonts w:ascii="Times New Roman" w:cs="Times New Roman" w:eastAsia="Times New Roman" w:hAnsi="Times New Roman"/>
          <w:sz w:val="18"/>
          <w:szCs w:val="18"/>
          <w:color w:val="auto"/>
        </w:rPr>
      </w:pPr>
    </w:p>
    <w:p>
      <w:pPr>
        <w:ind w:left="980" w:right="140" w:firstLine="408"/>
        <w:spacing w:after="0" w:line="266" w:lineRule="auto"/>
        <w:tabs>
          <w:tab w:leader="none" w:pos="163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any cash dividends or distributions received by the Parent Guarantor or any of its Subsidiaries after November 26, 2013 from any unconsolidated Person, to the extent that such dividends or distributions were not otherwise included in Consolidated Net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provisions will not prohibit:</w:t>
      </w:r>
    </w:p>
    <w:p>
      <w:pPr>
        <w:spacing w:after="0" w:line="117" w:lineRule="exact"/>
        <w:rPr>
          <w:sz w:val="20"/>
          <w:szCs w:val="20"/>
          <w:color w:val="auto"/>
        </w:rPr>
      </w:pPr>
    </w:p>
    <w:p>
      <w:pPr>
        <w:ind w:left="440" w:firstLine="419"/>
        <w:spacing w:after="0" w:line="266" w:lineRule="auto"/>
        <w:tabs>
          <w:tab w:leader="none" w:pos="110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by the Parent Guarantor of any dividend or the consummation of any redemption within 60 days after the date of declaration thereof or the giving of the redemption notice, as the case may be, if on the date of declaration or notice, the dividend or redemption payment would have complied with the provisions of this Indenture;</w:t>
      </w:r>
    </w:p>
    <w:p>
      <w:pPr>
        <w:spacing w:after="0" w:line="67"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1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or redemption of any Equity Interests of the Parent Guarantor in exchange for, or out of the proceeds of the substantially concurrent issuance and sale of, Qualified Equity Interests;</w:t>
      </w:r>
    </w:p>
    <w:p>
      <w:pPr>
        <w:spacing w:after="0" w:line="53" w:lineRule="exact"/>
        <w:rPr>
          <w:rFonts w:ascii="Times New Roman" w:cs="Times New Roman" w:eastAsia="Times New Roman" w:hAnsi="Times New Roman"/>
          <w:sz w:val="18"/>
          <w:szCs w:val="18"/>
          <w:color w:val="auto"/>
        </w:rPr>
      </w:pPr>
    </w:p>
    <w:p>
      <w:pPr>
        <w:ind w:left="440" w:right="20" w:firstLine="419"/>
        <w:spacing w:after="0" w:line="252" w:lineRule="auto"/>
        <w:tabs>
          <w:tab w:leader="none" w:pos="110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payments by the Parent Guarantor to redeem Equity Interests of the Parent Guarantor held by officers, directors or employees or former officers, directors or employees (or their transferees, estates or beneficiaries under their estates) of the Parent Guarantor or its Subsidiaries, upon their death, disability, retirement, severance or termination of employment or service or other repurchase event pursuant to any management equity plan or stock option plan, shareholders’ agreement or any other management or employee benefit plan or agreement or arrangement;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aggregate cash consideration paid for all such redemptions shall not exceed (A) $15.0 million in any calendar year (with unused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amounts in any calendar year being permitted to be carried over to succeeding calendar years subject to a maximum of $25.0 million in any calendar year); plus (B) the amount of any net cash proceeds received by the Parent Guarantor from the issuance and sale after November 26, 2013 of Qualified Equity Interests of the Parent Guarantor to officers, directors or employees of the Parent Guarantor or its Subsidiaries that have not been applied to the payment of Restricted Payments pursuant to this clause (c), plus (C) the net cash proceeds of any “key-man” life insurance policies that have not been applied to the payment of Restricted Payments pursuant to this clause (c);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neither (x) cancellation of Indebtedness owing to the Parent Guarantor from any current or former officer, director or employee (or any permitted transferees thereof) of the Parent Guarantor or any of its Subsidiaries (or any direct or indirect parent company thereof), in connection with a repurchase of Equity Interests of the Parent Guarantor from such Persons nor (y) any payments or other obligations arising in respect of Equity Interests of the Parent Guarantor held by officers,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980"/>
          </w:cols>
          <w:pgMar w:left="440" w:top="270" w:right="479" w:bottom="1440" w:gutter="0" w:footer="0" w:header="0"/>
        </w:sectPr>
      </w:pPr>
    </w:p>
    <w:bookmarkStart w:id="61" w:name="page62"/>
    <w:bookmarkEnd w:id="61"/>
    <w:p>
      <w:pPr>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directors or employees or former officers, directors or employees (or their transferees, estates or beneficiaries under their estates) in connection with or resulting from the announcement or consummation of a Change of Control, will be deemed to constitute a Restricted Payment for purposes of this Section 4.09 or any other provisions of this Indenture;</w:t>
      </w:r>
    </w:p>
    <w:p>
      <w:pPr>
        <w:spacing w:after="0" w:line="68" w:lineRule="exact"/>
        <w:rPr>
          <w:sz w:val="20"/>
          <w:szCs w:val="20"/>
          <w:color w:val="auto"/>
        </w:rPr>
      </w:pPr>
    </w:p>
    <w:p>
      <w:pPr>
        <w:jc w:val="both"/>
        <w:ind w:firstLine="419"/>
        <w:spacing w:after="0" w:line="258" w:lineRule="auto"/>
        <w:tabs>
          <w:tab w:leader="none" w:pos="67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redemptions, retirements or other acquisitions for value of Equity Interests (i) deemed to occur upon the exercise of stock options, warrants, rights to acquire Equity Interests or other convertible securities if the Equity Interests represent a portion of the exercise price thereof, or in connection with the withholding of a portion of the Equity Interests granted or awarded to an employee to pay for the taxes payable by such employee upon such grant or award or (ii) upon cancellation or forfeiture of stock options, warrants, rights to acquire Equity Interests or other convertible securities;</w:t>
      </w:r>
    </w:p>
    <w:p>
      <w:pPr>
        <w:spacing w:after="0" w:line="75" w:lineRule="exact"/>
        <w:rPr>
          <w:rFonts w:ascii="Times New Roman" w:cs="Times New Roman" w:eastAsia="Times New Roman" w:hAnsi="Times New Roman"/>
          <w:sz w:val="18"/>
          <w:szCs w:val="18"/>
          <w:color w:val="auto"/>
        </w:rPr>
      </w:pPr>
    </w:p>
    <w:p>
      <w:pPr>
        <w:ind w:firstLine="419"/>
        <w:spacing w:after="0" w:line="266" w:lineRule="auto"/>
        <w:tabs>
          <w:tab w:leader="none" w:pos="66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to allow the payment of cash in lieu of the issuance of fractional shares upon (i) the exercise of options or warrants or (ii) the conversion or exchange of Equity Interests of any Person (including in a merger, consolidation, amalgamation or similar transaction) and payments of cash to dissenting shareholders in connection with a merger, consolidation, amalgamation, transfer of assets;</w:t>
      </w:r>
    </w:p>
    <w:p>
      <w:pPr>
        <w:spacing w:after="0" w:line="67" w:lineRule="exact"/>
        <w:rPr>
          <w:rFonts w:ascii="Times New Roman" w:cs="Times New Roman" w:eastAsia="Times New Roman" w:hAnsi="Times New Roman"/>
          <w:sz w:val="18"/>
          <w:szCs w:val="18"/>
          <w:color w:val="auto"/>
        </w:rPr>
      </w:pPr>
    </w:p>
    <w:p>
      <w:pPr>
        <w:ind w:right="60" w:firstLine="419"/>
        <w:spacing w:after="0" w:line="282" w:lineRule="auto"/>
        <w:tabs>
          <w:tab w:leader="none" w:pos="64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any dividend (or, in the case of any partnership or limited liability company, any similar distribution) by a Subsidiary of the Parent Guarantor to the holders of its Equity Interests on a pro rata basis;</w:t>
      </w:r>
    </w:p>
    <w:p>
      <w:pPr>
        <w:spacing w:after="0" w:line="53"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in an amount not to exceed $300.0 million since the Issue Date;</w:t>
      </w:r>
    </w:p>
    <w:p>
      <w:pPr>
        <w:spacing w:after="0" w:line="117" w:lineRule="exact"/>
        <w:rPr>
          <w:rFonts w:ascii="Times New Roman" w:cs="Times New Roman" w:eastAsia="Times New Roman" w:hAnsi="Times New Roman"/>
          <w:sz w:val="18"/>
          <w:szCs w:val="18"/>
          <w:color w:val="auto"/>
        </w:rPr>
      </w:pPr>
    </w:p>
    <w:p>
      <w:pPr>
        <w:jc w:val="both"/>
        <w:ind w:firstLine="419"/>
        <w:spacing w:after="0" w:line="261" w:lineRule="auto"/>
        <w:tabs>
          <w:tab w:leader="none" w:pos="67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repurchase or redemption of common stock or Preferred Stock purchase rights of the Parent Guarantor issued in connection with any stockholders rights plan and (ii) so long as no Default under clauses (1) or (2) of the definition of “Event of Default” shall have occurred and be continuing or shall occur as consequence thereof, Restricted Payments with respect to Preferred Stock in an aggregate amount not to exceed $73.0 million in each calendar year;</w:t>
      </w:r>
    </w:p>
    <w:p>
      <w:pPr>
        <w:spacing w:after="0" w:line="71"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redemptions, retirements or other acquisitions for value of Equity Interests in an aggregate amount not to exceed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$125.0 million per fiscal year;</w:t>
      </w:r>
    </w:p>
    <w:p>
      <w:pPr>
        <w:spacing w:after="0" w:line="99" w:lineRule="exact"/>
        <w:rPr>
          <w:sz w:val="20"/>
          <w:szCs w:val="20"/>
          <w:color w:val="auto"/>
        </w:rPr>
      </w:pPr>
    </w:p>
    <w:p>
      <w:pPr>
        <w:ind w:right="20" w:firstLine="419"/>
        <w:spacing w:after="0" w:line="282" w:lineRule="auto"/>
        <w:tabs>
          <w:tab w:leader="none" w:pos="63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dividends to the holders of Equity Interests in Parent Guarantor in an aggregate amount not to exceed $115.0 million per fiscal year; and</w:t>
      </w:r>
    </w:p>
    <w:p>
      <w:pPr>
        <w:spacing w:after="0" w:line="53" w:lineRule="exact"/>
        <w:rPr>
          <w:rFonts w:ascii="Times New Roman" w:cs="Times New Roman" w:eastAsia="Times New Roman" w:hAnsi="Times New Roman"/>
          <w:sz w:val="18"/>
          <w:szCs w:val="18"/>
          <w:color w:val="auto"/>
        </w:rPr>
      </w:pPr>
    </w:p>
    <w:p>
      <w:pPr>
        <w:ind w:right="80" w:firstLine="419"/>
        <w:spacing w:after="0" w:line="282" w:lineRule="auto"/>
        <w:tabs>
          <w:tab w:leader="none" w:pos="67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Restricted Payments if, at the time of the making of such payments, and after giving effect thereto (including, without limitation, the incurrence of any Indebtedness to finance such payment), the Total Leverage Ratio would not exceed 3.00 to 1.00,</w:t>
      </w:r>
    </w:p>
    <w:p>
      <w:pPr>
        <w:spacing w:after="0" w:line="94"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440"/>
          </w:cols>
          <w:pgMar w:left="880" w:top="270" w:right="579" w:bottom="1440" w:gutter="0" w:footer="0" w:header="0"/>
        </w:sectPr>
      </w:pPr>
    </w:p>
    <w:bookmarkStart w:id="62" w:name="page63"/>
    <w:bookmarkEnd w:id="62"/>
    <w:p>
      <w:pPr>
        <w:spacing w:after="0" w:line="26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provided </w:t>
      </w:r>
      <w:r>
        <w:rPr>
          <w:rFonts w:ascii="Times New Roman" w:cs="Times New Roman" w:eastAsia="Times New Roman" w:hAnsi="Times New Roman"/>
          <w:sz w:val="18"/>
          <w:szCs w:val="18"/>
          <w:color w:val="auto"/>
        </w:rPr>
        <w:t>that (a) in the case of any Restricted Payment pursuant to clause (g) or (i) of this Section 4.09, no Default shall have occurred and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continuing or shall occur as a consequence thereof and (b) no issuance and sale of Qualified Equity Interests that are used to make a payment pursuant to clauses (b) or (c)(B) of this Section 4.09 shall increase the Restricted Payments Basket.</w:t>
      </w:r>
    </w:p>
    <w:p>
      <w:pPr>
        <w:spacing w:after="0" w:line="175"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For purposes of determining compliance with this Section 4.09, in the event that a payment or other action meets the criteria of more than one of the exceptions described in clauses (a) through (k) above, or is entitled to be made pursuant to the first paragraph of this Section 4.09, the Issuer will be permitted to classify such payment or other action on the date of its occurrence in any manner that complies with this Section 4.09. Payments or other actions permitted by this Section 4.09 need not be permitted solely by reference to one provision permitting such payment or other action, but may be permitted in part by one such provision and in part by one or more other provisions of this Section 4.09 permitting payment or other action, including, for the avoidance of doubt, in the event that any Fixed Baskets are intended to be utilized together with any Incurrence-Based Baskets in a single transaction or a series of related transactions, (1) compliance with or satisfaction of any applicable financial ratios or tests for the portion of such Restricted Payment or other applicable transaction or action to be incurred under any Incurrence-Based Baskets shall first be calculated without giving effect to amounts being utilized pursuant to any Fixed Baskets, but giving full pro forma effect to all applicable and related transactions (including, subject to the foregoing with respect to Fixed Baskets, any incurrence and any repayment of Indebtedness and any related Liens) and all other permitted pro forma adjustments and (2) thereafter, incurrence of the portion of such Restricted Payment to be incurred under any Fixed Baskets shall be calculated.</w:t>
      </w:r>
    </w:p>
    <w:p>
      <w:pPr>
        <w:spacing w:after="0" w:line="190"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If the Parent Guarantor or any of its Subsidiaries makes a Restricted Payment which, at the time of the making of such Restricted Payment, in the good faith determination of the Parent Guarantor or such Subsidiary, would be permitted under the requirements of this Indenture, such Restricted Payment shall be deemed to have been made in compliance with this Indenture notwithstanding any subsequent adjustment made in good faith to the Parent Guarantor’s financial statements affecting Consolidated Net Income.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Limitation on Liens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The Parent Guarantor will not at any time create, incur, assume or guarantee, and will not cause or permit any of its Subsidiaries to create, incur, assume or guarantee, any Secured Debt (the “</w:t>
      </w:r>
      <w:r>
        <w:rPr>
          <w:rFonts w:ascii="Times New Roman" w:cs="Times New Roman" w:eastAsia="Times New Roman" w:hAnsi="Times New Roman"/>
          <w:sz w:val="18"/>
          <w:szCs w:val="18"/>
          <w:u w:val="single" w:color="auto"/>
          <w:color w:val="auto"/>
        </w:rPr>
        <w:t>Initial Security Interest</w:t>
      </w:r>
      <w:r>
        <w:rPr>
          <w:rFonts w:ascii="Times New Roman" w:cs="Times New Roman" w:eastAsia="Times New Roman" w:hAnsi="Times New Roman"/>
          <w:sz w:val="18"/>
          <w:szCs w:val="18"/>
          <w:color w:val="auto"/>
        </w:rPr>
        <w:t xml:space="preserve">”), and the Parent Guarantor will not at any time create, and will not cause or permit any of its Subsidiaries to create, any Security Interest securing any Indebtedness existing on the date hereof that would constitute Secured Debt if it were secured by a Security Interest, without first making effective provision whereby each series of Notes shall be secured by the Security Interest securing such Secured Debt equally and ratably with, or prior to, any and all other obligations and indebtedness so secured, so long as such other obligations and indebtedness shall be so secured;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foregoing prohibition will not prevent the creation, incurrence, assumption or guarantee of the following permitted Security Interests (the “</w:t>
      </w:r>
      <w:r>
        <w:rPr>
          <w:rFonts w:ascii="Times New Roman" w:cs="Times New Roman" w:eastAsia="Times New Roman" w:hAnsi="Times New Roman"/>
          <w:sz w:val="18"/>
          <w:szCs w:val="18"/>
          <w:u w:val="single" w:color="auto"/>
          <w:color w:val="auto"/>
        </w:rPr>
        <w:t>Permitted Security Interests</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440" w:right="220" w:firstLine="419"/>
        <w:spacing w:after="0" w:line="266" w:lineRule="auto"/>
        <w:tabs>
          <w:tab w:leader="none" w:pos="111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Interests on property acquired, constructed, developed or improved after the date of this Indenture by the Parent Guarantor or any of its Subsidiaries and created prior to or contemporaneously with, or within 180 days after the acquisition, construction, development or improvement of property that is a parcel of real property, a building, machinery or equipment;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0"/>
          </w:cols>
          <w:pgMar w:left="440" w:top="268" w:right="459" w:bottom="1440" w:gutter="0" w:footer="0" w:header="0"/>
        </w:sectPr>
      </w:pPr>
    </w:p>
    <w:bookmarkStart w:id="63" w:name="page64"/>
    <w:bookmarkEnd w:id="63"/>
    <w:p>
      <w:pPr>
        <w:ind w:right="140" w:firstLine="419"/>
        <w:spacing w:after="0" w:line="256" w:lineRule="auto"/>
        <w:tabs>
          <w:tab w:leader="none" w:pos="67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Security Interests on property at the time of acquisition which secure obligations assumed by the Parent Guarantor or any of its Subsidiaries, or on the property or on the outstanding shares or Indebtedness of a corporation or firm at the time it becomes a Subsidiary or is merged into or consolidated with the Parent Guarantor or any of its Subsidiaries, or on properties of a corporation or firm acquired by the Parent Guarantor or any of its Subsidiaries as an entirety or substantially as an entirety;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Security Interests may not extend to any other property of the Parent Guarantor or such Subsidiary other than proceeds and products of such property, shares or Indebtedness and accessions thereto;</w:t>
      </w:r>
    </w:p>
    <w:p>
      <w:pPr>
        <w:spacing w:after="0" w:line="79" w:lineRule="exact"/>
        <w:rPr>
          <w:rFonts w:ascii="Times New Roman" w:cs="Times New Roman" w:eastAsia="Times New Roman" w:hAnsi="Times New Roman"/>
          <w:sz w:val="18"/>
          <w:szCs w:val="18"/>
          <w:color w:val="auto"/>
        </w:rPr>
      </w:pPr>
    </w:p>
    <w:p>
      <w:pPr>
        <w:ind w:right="60" w:firstLine="419"/>
        <w:spacing w:after="0" w:line="282" w:lineRule="auto"/>
        <w:tabs>
          <w:tab w:leader="none" w:pos="67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Interests arising from conditional sales agreements or title retention agreements with respect to property acquired by the Parent Guarantor or any of its Subsidiaries;</w:t>
      </w:r>
    </w:p>
    <w:p>
      <w:pPr>
        <w:spacing w:after="0" w:line="53" w:lineRule="exact"/>
        <w:rPr>
          <w:rFonts w:ascii="Times New Roman" w:cs="Times New Roman" w:eastAsia="Times New Roman" w:hAnsi="Times New Roman"/>
          <w:sz w:val="18"/>
          <w:szCs w:val="18"/>
          <w:color w:val="auto"/>
        </w:rPr>
      </w:pPr>
    </w:p>
    <w:p>
      <w:pPr>
        <w:ind w:right="440" w:firstLine="419"/>
        <w:spacing w:after="0" w:line="282" w:lineRule="auto"/>
        <w:tabs>
          <w:tab w:leader="none" w:pos="67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Interests securing Indebtedness of a Subsidiary of the Parent Guarantor owing to the Parent Guarantor or to another of the Parent Guarantor’s Subsidiaries;</w:t>
      </w:r>
    </w:p>
    <w:p>
      <w:pPr>
        <w:spacing w:after="0" w:line="53" w:lineRule="exact"/>
        <w:rPr>
          <w:rFonts w:ascii="Times New Roman" w:cs="Times New Roman" w:eastAsia="Times New Roman" w:hAnsi="Times New Roman"/>
          <w:sz w:val="18"/>
          <w:szCs w:val="18"/>
          <w:color w:val="auto"/>
        </w:rPr>
      </w:pPr>
    </w:p>
    <w:p>
      <w:pPr>
        <w:ind w:firstLine="419"/>
        <w:spacing w:after="0" w:line="258" w:lineRule="auto"/>
        <w:tabs>
          <w:tab w:leader="none" w:pos="67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Interests (a) to secure obligations under Credit Facilities or (b) in accounts receivable and related assets of the types specified in the definition of “Qualified Receivables Transaction” incurred in connection with a Qualified Receivables Transaction, in an aggregate principal amount under clauses (a) and (b) combined not to exceed the greater of (x) $4,500.0 million and (y) the maximum amount that would not cause the Senior Secured Leverage Ratio to exceed 3.00 to 1.00 after giving pro forma effect to the incurrence of the obligations to be secured by such Security Interests and the application of the proceeds therefrom;</w:t>
      </w:r>
    </w:p>
    <w:p>
      <w:pPr>
        <w:spacing w:after="0" w:line="75" w:lineRule="exact"/>
        <w:rPr>
          <w:rFonts w:ascii="Times New Roman" w:cs="Times New Roman" w:eastAsia="Times New Roman" w:hAnsi="Times New Roman"/>
          <w:sz w:val="18"/>
          <w:szCs w:val="18"/>
          <w:color w:val="auto"/>
        </w:rPr>
      </w:pPr>
    </w:p>
    <w:p>
      <w:pPr>
        <w:ind w:right="240" w:firstLine="419"/>
        <w:spacing w:after="0" w:line="282" w:lineRule="auto"/>
        <w:tabs>
          <w:tab w:leader="none" w:pos="67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Interests existing on the Issue Date and extensions, renewals and replacements of any such Security Interests so long as such Security Interests are not extended to any other property of the Parent Guarantor or any of its Subsidiaries;</w:t>
      </w:r>
    </w:p>
    <w:p>
      <w:pPr>
        <w:spacing w:after="0" w:line="53" w:lineRule="exact"/>
        <w:rPr>
          <w:rFonts w:ascii="Times New Roman" w:cs="Times New Roman" w:eastAsia="Times New Roman" w:hAnsi="Times New Roman"/>
          <w:sz w:val="18"/>
          <w:szCs w:val="18"/>
          <w:color w:val="auto"/>
        </w:rPr>
      </w:pPr>
    </w:p>
    <w:p>
      <w:pPr>
        <w:jc w:val="both"/>
        <w:ind w:right="100" w:firstLine="419"/>
        <w:spacing w:after="0" w:line="266" w:lineRule="auto"/>
        <w:tabs>
          <w:tab w:leader="none" w:pos="67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Interest arising by reason of deposits with, or the giving of any form of security to, any governmental agency or any body created or approved by law or governmental regulations, which is required by law or governmental regulation as a condition to the transaction of any business, or the exercise of any privilege, franchise or license;</w:t>
      </w:r>
    </w:p>
    <w:p>
      <w:pPr>
        <w:spacing w:after="0" w:line="67" w:lineRule="exact"/>
        <w:rPr>
          <w:rFonts w:ascii="Times New Roman" w:cs="Times New Roman" w:eastAsia="Times New Roman" w:hAnsi="Times New Roman"/>
          <w:sz w:val="18"/>
          <w:szCs w:val="18"/>
          <w:color w:val="auto"/>
        </w:rPr>
      </w:pPr>
    </w:p>
    <w:p>
      <w:pPr>
        <w:ind w:right="360" w:firstLine="419"/>
        <w:spacing w:after="0" w:line="282" w:lineRule="auto"/>
        <w:tabs>
          <w:tab w:leader="none" w:pos="67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carriers’, warehousemen’s, mechanics’ and other statutory liens arising in the ordinary course of business (including construction of facilities) in respect of obligations that are not due or that are being contested in good faith;</w:t>
      </w:r>
    </w:p>
    <w:p>
      <w:pPr>
        <w:spacing w:after="0" w:line="9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520"/>
          </w:cols>
          <w:pgMar w:left="880" w:top="270" w:right="499" w:bottom="1440" w:gutter="0" w:footer="0" w:header="0"/>
        </w:sectPr>
      </w:pPr>
    </w:p>
    <w:bookmarkStart w:id="64" w:name="page65"/>
    <w:bookmarkEnd w:id="64"/>
    <w:p>
      <w:pPr>
        <w:ind w:right="180" w:firstLine="419"/>
        <w:spacing w:after="0" w:line="282" w:lineRule="auto"/>
        <w:tabs>
          <w:tab w:leader="none" w:pos="67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Security Interests for taxes, assessments or governmental charges not yet delinquent or for taxes, assessments or governmental charges that are being contested in good faith;</w:t>
      </w:r>
    </w:p>
    <w:p>
      <w:pPr>
        <w:spacing w:after="0" w:line="53" w:lineRule="exact"/>
        <w:rPr>
          <w:rFonts w:ascii="Times New Roman" w:cs="Times New Roman" w:eastAsia="Times New Roman" w:hAnsi="Times New Roman"/>
          <w:sz w:val="18"/>
          <w:szCs w:val="18"/>
          <w:color w:val="auto"/>
        </w:rPr>
      </w:pPr>
    </w:p>
    <w:p>
      <w:pPr>
        <w:ind w:right="580" w:firstLine="419"/>
        <w:spacing w:after="0" w:line="282" w:lineRule="auto"/>
        <w:tabs>
          <w:tab w:leader="none" w:pos="76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Interests (including judgment liens) arising in connection with legal proceedings so long as such proceedings are being contested in good faith and, in the case of judgment liens, execution thereon is stayed or not giving rise to an Event of Default;</w:t>
      </w:r>
    </w:p>
    <w:p>
      <w:pPr>
        <w:spacing w:after="0" w:line="53"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landlords’ liens on fixtures on premises leased in the ordinary course of business;</w:t>
      </w:r>
    </w:p>
    <w:p>
      <w:pPr>
        <w:spacing w:after="0" w:line="117" w:lineRule="exact"/>
        <w:rPr>
          <w:rFonts w:ascii="Times New Roman" w:cs="Times New Roman" w:eastAsia="Times New Roman" w:hAnsi="Times New Roman"/>
          <w:sz w:val="18"/>
          <w:szCs w:val="18"/>
          <w:color w:val="auto"/>
        </w:rPr>
      </w:pPr>
    </w:p>
    <w:p>
      <w:pPr>
        <w:ind w:right="280" w:firstLine="419"/>
        <w:spacing w:after="0" w:line="266" w:lineRule="auto"/>
        <w:tabs>
          <w:tab w:leader="none" w:pos="76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Interests to secure the performance of statutory obligations, insurance, surety or appeal bonds, performance bonds, or other obligations of a like nature incurred in the ordinary course of business (including Security Interests to secure letters of credit issued to assure payment of such obligations);</w:t>
      </w:r>
    </w:p>
    <w:p>
      <w:pPr>
        <w:spacing w:after="0" w:line="67" w:lineRule="exact"/>
        <w:rPr>
          <w:rFonts w:ascii="Times New Roman" w:cs="Times New Roman" w:eastAsia="Times New Roman" w:hAnsi="Times New Roman"/>
          <w:sz w:val="18"/>
          <w:szCs w:val="18"/>
          <w:color w:val="auto"/>
        </w:rPr>
      </w:pPr>
    </w:p>
    <w:p>
      <w:pPr>
        <w:ind w:right="100" w:firstLine="419"/>
        <w:spacing w:after="0" w:line="282" w:lineRule="auto"/>
        <w:tabs>
          <w:tab w:leader="none" w:pos="76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Interests on assets of the Parent Guarantor or any of its Subsidiaries securing Indebtedness consisting of Hedging Obligations or Treasury Management Arrangements;</w:t>
      </w:r>
    </w:p>
    <w:p>
      <w:pPr>
        <w:spacing w:after="0" w:line="53" w:lineRule="exact"/>
        <w:rPr>
          <w:rFonts w:ascii="Times New Roman" w:cs="Times New Roman" w:eastAsia="Times New Roman" w:hAnsi="Times New Roman"/>
          <w:sz w:val="18"/>
          <w:szCs w:val="18"/>
          <w:color w:val="auto"/>
        </w:rPr>
      </w:pPr>
    </w:p>
    <w:p>
      <w:pPr>
        <w:ind w:right="140" w:firstLine="419"/>
        <w:spacing w:after="0" w:line="261" w:lineRule="auto"/>
        <w:tabs>
          <w:tab w:leader="none" w:pos="76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survey exceptions, easements or reservations of, or rights of others for, licenses, rights-of-way, sewers, electric lines, telegraph and telephone lines and other similar purposes, or zoning or other restrictions as to the use of real property that were not incurred in connection with Indebtedness and that do not in the aggregate materially impair the use of said properties in the operation of the business of the Parent Guarantor and its Subsidiaries;</w:t>
      </w:r>
    </w:p>
    <w:p>
      <w:pPr>
        <w:spacing w:after="0" w:line="71" w:lineRule="exact"/>
        <w:rPr>
          <w:rFonts w:ascii="Times New Roman" w:cs="Times New Roman" w:eastAsia="Times New Roman" w:hAnsi="Times New Roman"/>
          <w:sz w:val="18"/>
          <w:szCs w:val="18"/>
          <w:color w:val="auto"/>
        </w:rPr>
      </w:pPr>
    </w:p>
    <w:p>
      <w:pPr>
        <w:ind w:right="760" w:firstLine="419"/>
        <w:spacing w:after="0" w:line="282" w:lineRule="auto"/>
        <w:tabs>
          <w:tab w:leader="none" w:pos="76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Interests in favor of customs or revenue authorities arising as a matter of law to secure payment of customs duties in connection with the importation of goods incurred in the ordinary course of business;</w:t>
      </w:r>
    </w:p>
    <w:p>
      <w:pPr>
        <w:spacing w:after="0" w:line="53"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Interests on insurance policies and proceeds thereof, or other deposits, to secure insurance premium financings;</w:t>
      </w:r>
    </w:p>
    <w:p>
      <w:pPr>
        <w:spacing w:after="0" w:line="117"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of Uniform Commercial Code financing statements as a precautionary measure in connection with operating leases;</w:t>
      </w:r>
    </w:p>
    <w:p>
      <w:pPr>
        <w:spacing w:after="0" w:line="117"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bankers’ liens and rights of setoff;</w:t>
      </w:r>
    </w:p>
    <w:p>
      <w:pPr>
        <w:spacing w:after="0" w:line="117" w:lineRule="exact"/>
        <w:rPr>
          <w:rFonts w:ascii="Times New Roman" w:cs="Times New Roman" w:eastAsia="Times New Roman" w:hAnsi="Times New Roman"/>
          <w:sz w:val="18"/>
          <w:szCs w:val="18"/>
          <w:color w:val="auto"/>
        </w:rPr>
      </w:pPr>
    </w:p>
    <w:p>
      <w:pPr>
        <w:ind w:right="380" w:firstLine="419"/>
        <w:spacing w:after="0" w:line="282" w:lineRule="auto"/>
        <w:tabs>
          <w:tab w:leader="none" w:pos="76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Interests in cash, cash equivalents or other property arising in connection with the defeasance, discharge or redemption of Indebtedness;</w:t>
      </w:r>
    </w:p>
    <w:p>
      <w:pPr>
        <w:spacing w:after="0" w:line="53" w:lineRule="exact"/>
        <w:rPr>
          <w:rFonts w:ascii="Times New Roman" w:cs="Times New Roman" w:eastAsia="Times New Roman" w:hAnsi="Times New Roman"/>
          <w:sz w:val="18"/>
          <w:szCs w:val="18"/>
          <w:color w:val="auto"/>
        </w:rPr>
      </w:pPr>
    </w:p>
    <w:p>
      <w:pPr>
        <w:ind w:firstLine="419"/>
        <w:spacing w:after="0" w:line="266" w:lineRule="auto"/>
        <w:tabs>
          <w:tab w:leader="none" w:pos="76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Interests on specific items of inventory or other goods (and the proceeds thereof) of the Parent Guarantor or any of its Subsidiaries securing such Person’s obligations in respect of bankers’ acceptances or trade-related letters of credit issued or created in the ordinary course of business for the account of such Person to facilitate the purchase, shipment or storage of such inventory or other goods;</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540"/>
          </w:cols>
          <w:pgMar w:left="880" w:top="270" w:right="479" w:bottom="1440" w:gutter="0" w:footer="0" w:header="0"/>
        </w:sectPr>
      </w:pPr>
    </w:p>
    <w:bookmarkStart w:id="65" w:name="page66"/>
    <w:bookmarkEnd w:id="65"/>
    <w:p>
      <w:pPr>
        <w:ind w:left="1200" w:hanging="341"/>
        <w:spacing w:after="0"/>
        <w:tabs>
          <w:tab w:leader="none" w:pos="12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grants of intellectual property licenses (including software and other technology licenses) in the ordinary course of business;</w:t>
      </w:r>
    </w:p>
    <w:p>
      <w:pPr>
        <w:spacing w:after="0" w:line="117" w:lineRule="exact"/>
        <w:rPr>
          <w:rFonts w:ascii="Times New Roman" w:cs="Times New Roman" w:eastAsia="Times New Roman" w:hAnsi="Times New Roman"/>
          <w:sz w:val="18"/>
          <w:szCs w:val="18"/>
          <w:color w:val="auto"/>
        </w:rPr>
      </w:pPr>
    </w:p>
    <w:p>
      <w:pPr>
        <w:ind w:left="440" w:right="200" w:firstLine="419"/>
        <w:spacing w:after="0" w:line="266" w:lineRule="auto"/>
        <w:tabs>
          <w:tab w:leader="none" w:pos="120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Interests incurred or pledges or deposits made in the ordinary course of business in connection with workers’ compensation, unemployment insurance and other types of social security and employee health and disability benefits (including pledges or deposits securing liability to insurance carriers under insurance or self-insurance arrangements);</w:t>
      </w:r>
    </w:p>
    <w:p>
      <w:pPr>
        <w:spacing w:after="0" w:line="67" w:lineRule="exact"/>
        <w:rPr>
          <w:rFonts w:ascii="Times New Roman" w:cs="Times New Roman" w:eastAsia="Times New Roman" w:hAnsi="Times New Roman"/>
          <w:sz w:val="18"/>
          <w:szCs w:val="18"/>
          <w:color w:val="auto"/>
        </w:rPr>
      </w:pPr>
    </w:p>
    <w:p>
      <w:pPr>
        <w:ind w:left="1200" w:hanging="341"/>
        <w:spacing w:after="0"/>
        <w:tabs>
          <w:tab w:leader="none" w:pos="12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made in the ordinary course of business to secure liability to insurance carriers;</w:t>
      </w:r>
    </w:p>
    <w:p>
      <w:pPr>
        <w:spacing w:after="0" w:line="117" w:lineRule="exact"/>
        <w:rPr>
          <w:rFonts w:ascii="Times New Roman" w:cs="Times New Roman" w:eastAsia="Times New Roman" w:hAnsi="Times New Roman"/>
          <w:sz w:val="18"/>
          <w:szCs w:val="18"/>
          <w:color w:val="auto"/>
        </w:rPr>
      </w:pPr>
    </w:p>
    <w:p>
      <w:pPr>
        <w:ind w:left="440" w:firstLine="419"/>
        <w:spacing w:after="0" w:line="261" w:lineRule="auto"/>
        <w:tabs>
          <w:tab w:leader="none" w:pos="120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Interests to secure partial, progress, advance or other payments or any Indebtedness incurred for the purpose of financing all or any part of the purchase price or the cost of construction, development, or substantial repair, alteration or improvement of the property subject to such Security Interests if the commitment for the financing is obtained not later than 180 days after the later of the completion of or the placing into operation (exclusive of test and start-up periods) of such property;</w:t>
      </w:r>
    </w:p>
    <w:p>
      <w:pPr>
        <w:spacing w:after="0" w:line="71" w:lineRule="exact"/>
        <w:rPr>
          <w:rFonts w:ascii="Times New Roman" w:cs="Times New Roman" w:eastAsia="Times New Roman" w:hAnsi="Times New Roman"/>
          <w:sz w:val="18"/>
          <w:szCs w:val="18"/>
          <w:color w:val="auto"/>
        </w:rPr>
      </w:pPr>
    </w:p>
    <w:p>
      <w:pPr>
        <w:ind w:left="1200" w:hanging="341"/>
        <w:spacing w:after="0"/>
        <w:tabs>
          <w:tab w:leader="none" w:pos="120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options, put and call arrangements, rights of first refusal and similar rights relating to investments in joint ventures, partnerships and the</w:t>
      </w:r>
    </w:p>
    <w:p>
      <w:pPr>
        <w:spacing w:after="0" w:line="38" w:lineRule="exact"/>
        <w:rPr>
          <w:rFonts w:ascii="Times New Roman" w:cs="Times New Roman" w:eastAsia="Times New Roman" w:hAnsi="Times New Roman"/>
          <w:sz w:val="17"/>
          <w:szCs w:val="17"/>
          <w:color w:val="auto"/>
        </w:rPr>
      </w:pPr>
    </w:p>
    <w:p>
      <w:pPr>
        <w:ind w:left="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like;</w:t>
      </w:r>
    </w:p>
    <w:p>
      <w:pPr>
        <w:spacing w:after="0" w:line="98" w:lineRule="exact"/>
        <w:rPr>
          <w:rFonts w:ascii="Times New Roman" w:cs="Times New Roman" w:eastAsia="Times New Roman" w:hAnsi="Times New Roman"/>
          <w:sz w:val="17"/>
          <w:szCs w:val="17"/>
          <w:color w:val="auto"/>
        </w:rPr>
      </w:pPr>
    </w:p>
    <w:p>
      <w:pPr>
        <w:ind w:left="440" w:right="80" w:firstLine="419"/>
        <w:spacing w:after="0" w:line="266" w:lineRule="auto"/>
        <w:tabs>
          <w:tab w:leader="none" w:pos="120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Security Interests securing Indebtedness, in an aggregate principal amount for the Parent Guarantor and its Subsidiaries, together with the amount of Attributable Indebtedness incurred in connection with Sale and Leaseback Transactions, not exceeding at the time such Security Interest is created or assumed the greater of (x) $200.0 million and (y) 4.0% of Consolidated Total Assets; or</w:t>
      </w:r>
    </w:p>
    <w:p>
      <w:pPr>
        <w:spacing w:after="0" w:line="67" w:lineRule="exact"/>
        <w:rPr>
          <w:rFonts w:ascii="Times New Roman" w:cs="Times New Roman" w:eastAsia="Times New Roman" w:hAnsi="Times New Roman"/>
          <w:sz w:val="18"/>
          <w:szCs w:val="18"/>
          <w:color w:val="auto"/>
        </w:rPr>
      </w:pPr>
    </w:p>
    <w:p>
      <w:pPr>
        <w:jc w:val="both"/>
        <w:ind w:left="440" w:right="520" w:firstLine="419"/>
        <w:spacing w:after="0" w:line="266" w:lineRule="auto"/>
        <w:tabs>
          <w:tab w:leader="none" w:pos="120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Interests on cash proceeds of Indebtedness (and on the related escrow accounts) in connection with the issuance of such Indebtedness into (and pending the release from) a customary escrow arrangement, to the extent such Indebtedness is otherwise Incurred in compliance with this Indenture.</w:t>
      </w:r>
    </w:p>
    <w:p>
      <w:pPr>
        <w:spacing w:after="0" w:line="176"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Additionally, such permitted Secured Debt includes (with certain limitations) any extension, renewal or refunding, in whole or in part, of any Secured Debt permitted at the time of the original incurrence thereof.</w:t>
      </w:r>
    </w:p>
    <w:p>
      <w:pPr>
        <w:spacing w:after="0" w:line="162"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Any Security Interest created for the benefit of the Holders of each series of Notes pursuant to this Section 4.10 shall provide by its terms that such Security Interest shall be unconditionally and automatically released and discharged upon the release and discharge of the Initial Security Interest.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80"/>
          </w:cols>
          <w:pgMar w:left="440" w:top="270" w:right="479" w:bottom="1440" w:gutter="0" w:footer="0" w:header="0"/>
        </w:sectPr>
      </w:pPr>
    </w:p>
    <w:bookmarkStart w:id="66" w:name="page67"/>
    <w:bookmarkEnd w:id="66"/>
    <w:p>
      <w:pPr>
        <w:ind w:left="4" w:firstLine="991"/>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determining compliance with this Section 4.10, a Security Interest securing an item of Secured Debt need not be permitted solely by one category of Permitted Security Interest but may be permitted in part under any combination thereof, and if a Permitted Security Interest meets the criteria or more than one of the exceptions described in clauses (1) through (27) of this Section 4.10, the Parent Guarantor may, in its sole discretion, classify the Permitted Security Interest in any manner that complies with this Section 4.10, including, for the avoidance of doubt, in the event that any Fixed Baskets are intended to be utilized together with any Incurrence-Based Baskets in a single transaction or a series of related transactions,</w:t>
      </w:r>
    </w:p>
    <w:p>
      <w:pPr>
        <w:spacing w:after="0" w:line="3" w:lineRule="exact"/>
        <w:rPr>
          <w:sz w:val="20"/>
          <w:szCs w:val="20"/>
          <w:color w:val="auto"/>
        </w:rPr>
      </w:pPr>
    </w:p>
    <w:p>
      <w:pPr>
        <w:ind w:left="4" w:right="40" w:hanging="4"/>
        <w:spacing w:after="0" w:line="253" w:lineRule="auto"/>
        <w:tabs>
          <w:tab w:leader="none" w:pos="25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or satisfaction of any applicable financial ratios or tests for the portion of such Liens or other applicable transaction or action to be incurred under any Incurrence-Based Baskets shall first be calculated without giving effect to amounts being utilized pursuant to any Fixed Baskets, but giving full pro forma effect to all applicable and related transactions (including, subject to the foregoing with respect to Fixed Baskets, any incurrence and any repayment of Indebtedness and any related Liens) and all other permitted pro forma adjustments and (2) thereafter, incurrence of the portion of such Liens to be incurred under any Fixed Baskets shall be calculated.</w:t>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4.11.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Limitation on Sale and Leaseback Transactions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Parent Guarantor will not, and will not permit any of its Subsidiaries to, engage in any Sale and Leaseback Transaction unless:</w:t>
      </w:r>
    </w:p>
    <w:p>
      <w:pPr>
        <w:spacing w:after="0" w:line="117" w:lineRule="exact"/>
        <w:rPr>
          <w:sz w:val="20"/>
          <w:szCs w:val="20"/>
          <w:color w:val="auto"/>
        </w:rPr>
      </w:pPr>
    </w:p>
    <w:p>
      <w:pPr>
        <w:ind w:left="444" w:firstLine="419"/>
        <w:spacing w:after="0" w:line="261" w:lineRule="auto"/>
        <w:tabs>
          <w:tab w:leader="none" w:pos="112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Guarantor or such Subsidiary would be entitled to incur Secured Debt pursuant to Section 4.10 equal in amount to the net proceeds of the property sold or transferred or to be sold or to be transferred pursuant to such Sale and Leaseback Transaction and secured by a Security Interest on the property to be leased, without equally and ratably securing the debt securities outstanding under this Indenture as provided under Section 4.10; or</w:t>
      </w:r>
    </w:p>
    <w:p>
      <w:pPr>
        <w:spacing w:after="0" w:line="71" w:lineRule="exact"/>
        <w:rPr>
          <w:rFonts w:ascii="Times New Roman" w:cs="Times New Roman" w:eastAsia="Times New Roman" w:hAnsi="Times New Roman"/>
          <w:sz w:val="18"/>
          <w:szCs w:val="18"/>
          <w:color w:val="auto"/>
        </w:rPr>
      </w:pPr>
    </w:p>
    <w:p>
      <w:pPr>
        <w:ind w:left="444" w:firstLine="419"/>
        <w:spacing w:after="0" w:line="254" w:lineRule="auto"/>
        <w:tabs>
          <w:tab w:leader="none" w:pos="112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Guarantor or such Subsidiary shall apply, within 180 days after the effective date of such sale or transfer, an amount equal to such net proceeds to (i) the acquisition, construction, development or improvement of properties, facilities or equipment that are, or upon such acquisition, construction, development or improvement will be, a Principal Facility or Facilities or a part thereof or (ii) the repurchase or redemption of Notes or to the repayment or redemption of Indebtedness of the Parent Guarantor or of any of its Subsidiaries, or in part to such acquisition, construction, development or improvement and in part to such redemption and/or repayment. In lieu of applying an amount equal to such net proceeds to such repurchase or redemption, the Parent Guarantor or any of its Subsidiaries may, within 180 days after such sale or transfer, deliver to the Trustee or any other applicable trustee or comparable Person, Notes or Indebtedness for cancellation and thereby reduce the amount to be applied to the repurchase or redemption of such Notes or Indebtedness by an amount equivalent to the aggregate principal amount of Notes or Indebtedness.</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984"/>
          </w:cols>
          <w:pgMar w:left="436" w:top="270" w:right="4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4.13. </w:t>
      </w:r>
      <w:r>
        <w:rPr>
          <w:rFonts w:ascii="Times New Roman" w:cs="Times New Roman" w:eastAsia="Times New Roman" w:hAnsi="Times New Roman"/>
          <w:sz w:val="18"/>
          <w:szCs w:val="18"/>
          <w:u w:val="single" w:color="auto"/>
          <w:color w:val="auto"/>
        </w:rPr>
        <w:t>Reports to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987"/>
        <w:spacing w:after="0" w:line="282" w:lineRule="auto"/>
        <w:tabs>
          <w:tab w:leader="none" w:pos="123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required by the rules and regulations of the Commission, so long as any Notes are outstanding hereunder, the Issuer shall furnish to the Trustee and Holders the following:</w:t>
      </w:r>
    </w:p>
    <w:p>
      <w:pPr>
        <w:spacing w:after="0" w:line="53" w:lineRule="exact"/>
        <w:rPr>
          <w:rFonts w:ascii="Times New Roman" w:cs="Times New Roman" w:eastAsia="Times New Roman" w:hAnsi="Times New Roman"/>
          <w:sz w:val="18"/>
          <w:szCs w:val="18"/>
          <w:color w:val="auto"/>
        </w:rPr>
      </w:pPr>
    </w:p>
    <w:p>
      <w:pPr>
        <w:ind w:left="440" w:right="420" w:firstLine="419"/>
        <w:spacing w:after="0" w:line="312" w:lineRule="auto"/>
        <w:tabs>
          <w:tab w:leader="none" w:pos="1118"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quarterly and annual financial information required to be filed by the Parent Guarantor with the Commission on Forms 10-Q and 10-K, and, with respect to the annual information only, a report thereon by the Parent Guarantor’s certified independent accountants; and</w:t>
      </w:r>
    </w:p>
    <w:p>
      <w:pPr>
        <w:spacing w:after="0" w:line="31" w:lineRule="exact"/>
        <w:rPr>
          <w:rFonts w:ascii="Times New Roman" w:cs="Times New Roman" w:eastAsia="Times New Roman" w:hAnsi="Times New Roman"/>
          <w:sz w:val="17"/>
          <w:szCs w:val="17"/>
          <w:color w:val="auto"/>
        </w:rPr>
      </w:pPr>
    </w:p>
    <w:p>
      <w:pPr>
        <w:ind w:left="440" w:right="40" w:firstLine="419"/>
        <w:spacing w:after="0" w:line="261" w:lineRule="auto"/>
        <w:tabs>
          <w:tab w:leader="none" w:pos="111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reports required to be filed by the Parent Guarantor with the Commission on Form 8-K (during any period in which the Parent Guarantor is not required to file reports with the Commission, such current reports need only be prepared or delivered if the Parent Guarantor determines in good faith that the information to be reported is material to the Holders of any series of Notes or the business, operations, assets, liabilities or financial position of the Parent Guarantor and its Subsidiaries, taken as a whole),</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each case, within the time periods specified in the Commission’s rules and regulations, including any extension as would be permitted by Rule 12b-25 under the Exchange Act (and, during any period in which the Parent Guarantor is not required to file reports with the Commission, within the time periods specified in the Commission’s rules and regulations applicable to a “non-accelerated filer”).</w:t>
      </w:r>
    </w:p>
    <w:p>
      <w:pPr>
        <w:spacing w:after="0" w:line="176" w:lineRule="exact"/>
        <w:rPr>
          <w:sz w:val="20"/>
          <w:szCs w:val="20"/>
          <w:color w:val="auto"/>
        </w:rPr>
      </w:pPr>
    </w:p>
    <w:p>
      <w:pPr>
        <w:ind w:right="60" w:firstLine="987"/>
        <w:spacing w:after="0" w:line="256" w:lineRule="auto"/>
        <w:tabs>
          <w:tab w:leader="none" w:pos="124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whether or not required by the rules and regulations of the Commission, the Parent Guarantor will make all such information publicly available (including via a non-password protected website) within the time periods specified in the Commission’s rules and regulations, including any extension as would be permitted by Rule 12b-25 under the Exchange Act (unless the Commission will not accept such a filing), and make such information available to Holders of each series of Notes upon request. In addition, to the extent not satisfied by the foregoing, the Parent Guarantor shall, for so long as any Notes remain outstanding, furnish to the Holders of each series of Notes and to securities analysts and prospective investors, upon their request, the information required to be delivered pursuant to Rule 144A(d)(4) under the Securities Act.</w:t>
      </w:r>
    </w:p>
    <w:p>
      <w:pPr>
        <w:spacing w:after="0" w:line="187" w:lineRule="exact"/>
        <w:rPr>
          <w:rFonts w:ascii="Times New Roman" w:cs="Times New Roman" w:eastAsia="Times New Roman" w:hAnsi="Times New Roman"/>
          <w:sz w:val="18"/>
          <w:szCs w:val="18"/>
          <w:color w:val="auto"/>
        </w:rPr>
      </w:pPr>
    </w:p>
    <w:p>
      <w:pPr>
        <w:ind w:firstLine="987"/>
        <w:spacing w:after="0" w:line="261" w:lineRule="auto"/>
        <w:tabs>
          <w:tab w:leader="none" w:pos="123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Parent Guarantor files such reports with the Commission or posts its reports on its website, the public filing of such reports with the SEC or the public posting of such reports shall satisfy any requirement hereunder to deliver such reports to the Trustee and the Holders. The terms of this Indenture shall not impose any duty on the Parent Guarantor under the Sarbanes-Oxley Act of 2002 and the related Commission rules that would not otherwise be applicable to it.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20"/>
          </w:cols>
          <w:pgMar w:left="440" w:top="270" w:right="439" w:bottom="1440" w:gutter="0" w:footer="0" w:header="0"/>
        </w:sectPr>
      </w:pPr>
    </w:p>
    <w:bookmarkStart w:id="68" w:name="page69"/>
    <w:bookmarkEnd w:id="68"/>
    <w:p>
      <w:pPr>
        <w:ind w:right="40" w:firstLine="987"/>
        <w:spacing w:after="0" w:line="261" w:lineRule="auto"/>
        <w:tabs>
          <w:tab w:leader="none" w:pos="124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Delivery of such reports and information to the Trustee shall be for informational purposes only, and the Trustee’s receipt of them shall not constitute constructive notice of any information contained therein or determinable from information contained therein (including the Issuer’s compliance with any of its covenants hereunder as to which the Trustee is entitled to rely exclusively on Officer’s Certificates delivered pursuant to this Indenture, including Officer’s Certificates delivered pursuant to Section 4.05(a)).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u w:val="single" w:color="auto"/>
          <w:color w:val="auto"/>
        </w:rPr>
        <w:t>Additional Guarantees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on or after the Issue Date:</w:t>
      </w:r>
    </w:p>
    <w:p>
      <w:pPr>
        <w:spacing w:after="0" w:line="117" w:lineRule="exact"/>
        <w:rPr>
          <w:sz w:val="20"/>
          <w:szCs w:val="20"/>
          <w:color w:val="auto"/>
        </w:rPr>
      </w:pPr>
    </w:p>
    <w:p>
      <w:pPr>
        <w:ind w:left="440" w:right="40" w:firstLine="419"/>
        <w:spacing w:after="0" w:line="266" w:lineRule="auto"/>
        <w:tabs>
          <w:tab w:leader="none" w:pos="111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or any of its Subsidiaries acquires or creates another Domestic Subsidiary (other than a Receivables Entity) that incurs any Indebtedness under Credit Facilities (other than the ABL Facility) or any syndicated loan or capital markets debt securities or guarantees any such Indebtedness of the Parent Guarantor or any of its Domestic Subsidiaries; or</w:t>
      </w:r>
    </w:p>
    <w:p>
      <w:pPr>
        <w:spacing w:after="0" w:line="67"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1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Domestic Subsidiary (other than a Receivables Entity) of the Issuer incurs Indebtedness under Credit Facilities (other than the ABL Facility) or any syndicated loan or capital markets debt securities or guarantees any such Indebtedness of the Issuer or any of its Domestic Subsidiaries and that Domestic Subsidiary was not a Guarantor immediately prior to such incurrence or guarantee (an “</w:t>
      </w:r>
      <w:r>
        <w:rPr>
          <w:rFonts w:ascii="Times New Roman" w:cs="Times New Roman" w:eastAsia="Times New Roman" w:hAnsi="Times New Roman"/>
          <w:sz w:val="18"/>
          <w:szCs w:val="18"/>
          <w:u w:val="single" w:color="auto"/>
          <w:color w:val="auto"/>
        </w:rPr>
        <w:t>Additional Obligor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then that newly acquired or created Domestic Subsidiary or Additional Obligor, as the case may be, shall become a Guarantor and execute a supplemental indenture substantially in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to this Indenture within 30 Business Days of the date on which it was acquired or created or became an Additional Obligor.</w:t>
      </w:r>
    </w:p>
    <w:p>
      <w:pPr>
        <w:spacing w:after="0" w:line="176"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In addition, the Issuer shall have delivered to the Trustee an Officer’s Certificate and an Opinion of Counsel, each stating that such supplemental Indenture complies with the applicable provisions of this Indenture, that all conditions precedent in this Indenture relating to the entry into such supplemental indenture have been satisfied, and such Opinion of Counsel shall additionally state that such supplemental indenture is enforceable against the new Guarantor, subject to customary qualifications.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u w:val="single" w:color="auto"/>
          <w:color w:val="auto"/>
        </w:rPr>
        <w:t>Termination of Certain Covenants When Notes are Rated Investment Grade.</w:t>
      </w:r>
    </w:p>
    <w:p>
      <w:pPr>
        <w:spacing w:after="0" w:line="225" w:lineRule="exact"/>
        <w:rPr>
          <w:sz w:val="20"/>
          <w:szCs w:val="20"/>
          <w:color w:val="auto"/>
        </w:rPr>
      </w:pPr>
    </w:p>
    <w:p>
      <w:pPr>
        <w:ind w:firstLine="987"/>
        <w:spacing w:after="0" w:line="261" w:lineRule="auto"/>
        <w:tabs>
          <w:tab w:leader="none" w:pos="123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any date following the Issue Date (i) the Notes have Investment Grade Ratings from at least two Rating Agencies, and (ii) no Default has occurred and is continuing under this Indenture (the occurrence of the events described in the foregoing clauses (i) and (ii) being collectively referred to as a “</w:t>
      </w:r>
      <w:r>
        <w:rPr>
          <w:rFonts w:ascii="Times New Roman" w:cs="Times New Roman" w:eastAsia="Times New Roman" w:hAnsi="Times New Roman"/>
          <w:sz w:val="18"/>
          <w:szCs w:val="18"/>
          <w:u w:val="single" w:color="auto"/>
          <w:color w:val="auto"/>
        </w:rPr>
        <w:t>Covenant Termination Event</w:t>
      </w:r>
      <w:r>
        <w:rPr>
          <w:rFonts w:ascii="Times New Roman" w:cs="Times New Roman" w:eastAsia="Times New Roman" w:hAnsi="Times New Roman"/>
          <w:sz w:val="18"/>
          <w:szCs w:val="18"/>
          <w:color w:val="auto"/>
        </w:rPr>
        <w:t>”), the Parent Guarantor and its Subsidiaries will not be subject to Sections 4.08, 4.09, 4.12(2) and 4.14 hereof (collectively, the “</w:t>
      </w:r>
      <w:r>
        <w:rPr>
          <w:rFonts w:ascii="Times New Roman" w:cs="Times New Roman" w:eastAsia="Times New Roman" w:hAnsi="Times New Roman"/>
          <w:sz w:val="18"/>
          <w:szCs w:val="18"/>
          <w:u w:val="single" w:color="auto"/>
          <w:color w:val="auto"/>
        </w:rPr>
        <w:t>Terminated Covenants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520" w:firstLine="987"/>
        <w:spacing w:after="0" w:line="266" w:lineRule="auto"/>
        <w:tabs>
          <w:tab w:leader="none" w:pos="124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Covenant Termination Event occurs, the Parent Guarantor and its Subsidiaries will no longer be subject to the Terminated Covenants, regardless of whether on any subsequent date one or more Rating Agencies withdraw their Investment Grade Rating or downgrade the rating assigned to the Notes below an Investment Grade Rating.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70" w:right="459" w:bottom="1440" w:gutter="0" w:footer="0" w:header="0"/>
        </w:sectPr>
      </w:pPr>
    </w:p>
    <w:bookmarkStart w:id="69" w:name="page70"/>
    <w:bookmarkEnd w:id="69"/>
    <w:p>
      <w:pPr>
        <w:ind w:left="4" w:right="280" w:firstLine="987"/>
        <w:spacing w:after="0" w:line="261" w:lineRule="auto"/>
        <w:tabs>
          <w:tab w:leader="none" w:pos="12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Issuer, in an Officer’s Certificate, will provide the Trustee notice of any Covenant Termination Event. The Trustee will have no obligation to (i) independently determine or verify if such events have occurred, (ii) make any determination regarding the impact of actions taken during the suspension period on the Issuer’s future compliance with their covenants or (iii) notify the Holders of a Covenant Termination Event. The Trustee may deliver a copy of any such Officer’s Certificate to the Holders upon request.</w:t>
      </w:r>
    </w:p>
    <w:p>
      <w:pPr>
        <w:spacing w:after="0" w:line="18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ARTICLE FIVE</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SUCCESSOR OBLIGOR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Merger, Consolidation or Sale of Assets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76" w:lineRule="auto"/>
        <w:rPr>
          <w:sz w:val="20"/>
          <w:szCs w:val="20"/>
          <w:color w:val="auto"/>
        </w:rPr>
      </w:pPr>
      <w:r>
        <w:rPr>
          <w:rFonts w:ascii="Times New Roman" w:cs="Times New Roman" w:eastAsia="Times New Roman" w:hAnsi="Times New Roman"/>
          <w:sz w:val="17"/>
          <w:szCs w:val="17"/>
          <w:color w:val="auto"/>
        </w:rPr>
        <w:t>The Parent Guarantor and the Issuer will not (i) consolidate or merge with or into any other Person or Transfer all or substantially all of the properties or assets of the Parent Guarantor and its Subsidiaries, taken as a whole, or the Issuer and its Subsidiaries, taken as a whole, as applicable, or</w:t>
      </w:r>
    </w:p>
    <w:p>
      <w:pPr>
        <w:spacing w:after="0" w:line="1" w:lineRule="exact"/>
        <w:rPr>
          <w:sz w:val="20"/>
          <w:szCs w:val="20"/>
          <w:color w:val="auto"/>
        </w:rPr>
      </w:pPr>
    </w:p>
    <w:p>
      <w:pPr>
        <w:ind w:left="4" w:right="200" w:hanging="4"/>
        <w:spacing w:after="0" w:line="255" w:lineRule="auto"/>
        <w:tabs>
          <w:tab w:leader="none" w:pos="26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any of their respective Subsidiaries to, in a single transaction or a series of related transactions, Transfer all or substantially all of the properties or assets of the Parent Guarantor and its Subsidiaries, taken as a whole, or the Issuer and its Subsidiaries, taken as a whole, as applicable, in the case of clauses (i) and (ii), to, another Person unless:</w:t>
      </w:r>
    </w:p>
    <w:p>
      <w:pPr>
        <w:spacing w:after="0" w:line="77" w:lineRule="exact"/>
        <w:rPr>
          <w:rFonts w:ascii="Times New Roman" w:cs="Times New Roman" w:eastAsia="Times New Roman" w:hAnsi="Times New Roman"/>
          <w:sz w:val="18"/>
          <w:szCs w:val="18"/>
          <w:color w:val="auto"/>
        </w:rPr>
      </w:pPr>
    </w:p>
    <w:p>
      <w:pPr>
        <w:jc w:val="both"/>
        <w:ind w:left="444" w:right="160" w:firstLine="419"/>
        <w:spacing w:after="0" w:line="266" w:lineRule="auto"/>
        <w:tabs>
          <w:tab w:leader="none" w:pos="1122"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Guarantor or the Issuer, as applicable, is the continuing Person, or the successor or Person to whom all or substantially all of the properties or assets are transferred to is a corporation, limited liability company, partnership or trust organized and existing under the laws of the United States or a state thereof;</w:t>
      </w:r>
    </w:p>
    <w:p>
      <w:pPr>
        <w:spacing w:after="0" w:line="67" w:lineRule="exact"/>
        <w:rPr>
          <w:rFonts w:ascii="Times New Roman" w:cs="Times New Roman" w:eastAsia="Times New Roman" w:hAnsi="Times New Roman"/>
          <w:sz w:val="18"/>
          <w:szCs w:val="18"/>
          <w:color w:val="auto"/>
        </w:rPr>
      </w:pPr>
    </w:p>
    <w:p>
      <w:pPr>
        <w:ind w:left="444" w:right="380" w:firstLine="419"/>
        <w:spacing w:after="0" w:line="266" w:lineRule="auto"/>
        <w:tabs>
          <w:tab w:leader="none" w:pos="1122"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Person or Person to whom all or substantially all of the properties or assets are transferred to expressly assumes, by a supplemental indenture or amendment of the relevant documents, the Parent Guarantor’s or the Issuer’s, as applicable, obligations under each series of Notes and this Indenture; and</w:t>
      </w:r>
    </w:p>
    <w:p>
      <w:pPr>
        <w:spacing w:after="0" w:line="67" w:lineRule="exact"/>
        <w:rPr>
          <w:rFonts w:ascii="Times New Roman" w:cs="Times New Roman" w:eastAsia="Times New Roman" w:hAnsi="Times New Roman"/>
          <w:sz w:val="18"/>
          <w:szCs w:val="18"/>
          <w:color w:val="auto"/>
        </w:rPr>
      </w:pPr>
    </w:p>
    <w:p>
      <w:pPr>
        <w:ind w:left="444" w:right="320" w:firstLine="419"/>
        <w:spacing w:after="0" w:line="282" w:lineRule="auto"/>
        <w:tabs>
          <w:tab w:leader="none" w:pos="1122"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transaction, no Event of Default, and no event which, after notice or lapse of time or both, would become an Event of Default, shall have occurred or be continuing.</w:t>
      </w:r>
    </w:p>
    <w:p>
      <w:pPr>
        <w:spacing w:after="0" w:line="162" w:lineRule="exact"/>
        <w:rPr>
          <w:sz w:val="20"/>
          <w:szCs w:val="20"/>
          <w:color w:val="auto"/>
        </w:rPr>
      </w:pPr>
    </w:p>
    <w:p>
      <w:pPr>
        <w:ind w:left="4" w:right="260" w:firstLine="991"/>
        <w:spacing w:after="0" w:line="282" w:lineRule="auto"/>
        <w:rPr>
          <w:sz w:val="20"/>
          <w:szCs w:val="20"/>
          <w:color w:val="auto"/>
        </w:rPr>
      </w:pPr>
      <w:r>
        <w:rPr>
          <w:rFonts w:ascii="Times New Roman" w:cs="Times New Roman" w:eastAsia="Times New Roman" w:hAnsi="Times New Roman"/>
          <w:sz w:val="18"/>
          <w:szCs w:val="18"/>
          <w:color w:val="auto"/>
        </w:rPr>
        <w:t>A Guarantor (other than the Parent Guarantor) may not sell or otherwise dispose of all or substantially all of its assets to, or consolidate with or merge with or into, another Person, other than the Parent Guarantor, the Issuer or another Guarantor, unless:</w:t>
      </w:r>
    </w:p>
    <w:p>
      <w:pPr>
        <w:spacing w:after="0" w:line="67" w:lineRule="exact"/>
        <w:rPr>
          <w:sz w:val="20"/>
          <w:szCs w:val="20"/>
          <w:color w:val="auto"/>
        </w:rPr>
      </w:pPr>
    </w:p>
    <w:p>
      <w:pPr>
        <w:ind w:left="1424" w:right="100" w:hanging="439"/>
        <w:spacing w:after="0" w:line="282" w:lineRule="auto"/>
        <w:tabs>
          <w:tab w:leader="none" w:pos="142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or Person to whom all or substantially all of the properties or assets are transferred to is a corporation, limited liability company, partnership or trust organized and existing under the laws of the United States or a state thereof;</w:t>
      </w:r>
    </w:p>
    <w:p>
      <w:pPr>
        <w:spacing w:after="0" w:line="67" w:lineRule="exact"/>
        <w:rPr>
          <w:rFonts w:ascii="Times New Roman" w:cs="Times New Roman" w:eastAsia="Times New Roman" w:hAnsi="Times New Roman"/>
          <w:sz w:val="18"/>
          <w:szCs w:val="18"/>
          <w:color w:val="auto"/>
        </w:rPr>
      </w:pPr>
    </w:p>
    <w:p>
      <w:pPr>
        <w:ind w:left="1424" w:right="160" w:hanging="439"/>
        <w:spacing w:after="0" w:line="266" w:lineRule="auto"/>
        <w:tabs>
          <w:tab w:leader="none" w:pos="142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Person or Person to whom all or substantially all of the properties or assets are transferred to expressly assumes, by a supplemental indenture or amendment of the relevant documents, the Guarantor’s obligations under each series of Notes and this Indenture; and</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4"/>
          </w:cols>
          <w:pgMar w:left="436" w:top="270" w:right="459" w:bottom="1440" w:gutter="0" w:footer="0" w:header="0"/>
        </w:sectPr>
      </w:pPr>
    </w:p>
    <w:bookmarkStart w:id="70" w:name="page71"/>
    <w:bookmarkEnd w:id="70"/>
    <w:p>
      <w:pPr>
        <w:ind w:left="1424" w:hanging="439"/>
        <w:spacing w:after="0" w:line="282" w:lineRule="auto"/>
        <w:tabs>
          <w:tab w:leader="none" w:pos="142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after giving effect to the transaction, no Event of Default, and no event which, after notice or lapse of time or both, would become an Event of Default, shall have occurred or be continuing.</w:t>
      </w:r>
    </w:p>
    <w:p>
      <w:pPr>
        <w:spacing w:after="0" w:line="162" w:lineRule="exact"/>
        <w:rPr>
          <w:sz w:val="20"/>
          <w:szCs w:val="20"/>
          <w:color w:val="auto"/>
        </w:rPr>
      </w:pPr>
    </w:p>
    <w:p>
      <w:pPr>
        <w:ind w:left="4" w:right="120" w:firstLine="991"/>
        <w:spacing w:after="0" w:line="282" w:lineRule="auto"/>
        <w:rPr>
          <w:sz w:val="20"/>
          <w:szCs w:val="20"/>
          <w:color w:val="auto"/>
        </w:rPr>
      </w:pPr>
      <w:r>
        <w:rPr>
          <w:rFonts w:ascii="Times New Roman" w:cs="Times New Roman" w:eastAsia="Times New Roman" w:hAnsi="Times New Roman"/>
          <w:sz w:val="18"/>
          <w:szCs w:val="18"/>
          <w:color w:val="auto"/>
        </w:rPr>
        <w:t>The Issuer shall deliver, or cause to be delivered, to the Trustee an Officer’s Certificate and an Opinion of Counsel, each to the effect that such consolidation, merger, sale, conveyance, assignment, transfer, lease or other disposition complies with the requirements of this Indenture.</w:t>
      </w:r>
    </w:p>
    <w:p>
      <w:pPr>
        <w:spacing w:after="0" w:line="162" w:lineRule="exact"/>
        <w:rPr>
          <w:sz w:val="20"/>
          <w:szCs w:val="20"/>
          <w:color w:val="auto"/>
        </w:rPr>
      </w:pPr>
    </w:p>
    <w:p>
      <w:pPr>
        <w:ind w:left="4" w:right="120" w:firstLine="991"/>
        <w:spacing w:after="0" w:line="276" w:lineRule="auto"/>
        <w:rPr>
          <w:sz w:val="20"/>
          <w:szCs w:val="20"/>
          <w:color w:val="auto"/>
        </w:rPr>
      </w:pPr>
      <w:r>
        <w:rPr>
          <w:rFonts w:ascii="Times New Roman" w:cs="Times New Roman" w:eastAsia="Times New Roman" w:hAnsi="Times New Roman"/>
          <w:sz w:val="17"/>
          <w:szCs w:val="17"/>
          <w:color w:val="auto"/>
        </w:rPr>
        <w:t>This Section 5.01 will not apply to any Transfer of assets between or among the Parent Guarantor and any one or more of its Subsidiaries or between or among any one or more of the Parent Guarantor’s Subsidiaries. Clause (2) of the first paragraph of this Section 5.01 will not apply to:</w:t>
      </w:r>
    </w:p>
    <w:p>
      <w:pPr>
        <w:spacing w:after="0" w:line="1" w:lineRule="exact"/>
        <w:rPr>
          <w:sz w:val="20"/>
          <w:szCs w:val="20"/>
          <w:color w:val="auto"/>
        </w:rPr>
      </w:pPr>
    </w:p>
    <w:p>
      <w:pPr>
        <w:jc w:val="both"/>
        <w:ind w:left="4" w:right="300" w:hanging="4"/>
        <w:spacing w:after="0" w:line="290" w:lineRule="auto"/>
        <w:tabs>
          <w:tab w:leader="none" w:pos="259"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merger or consolidation of the Parent Guarantor with or into one of its Subsidiaries for any purpose or (2) any merger or consolidation of the Parent Guarantor or any of its Subsidiaries solely for the purpose of reincorporating the Parent Guarantor or such Subsidiary in another jurisdiction.</w:t>
      </w:r>
    </w:p>
    <w:p>
      <w:pPr>
        <w:spacing w:after="0" w:line="15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Successor Person Substituted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91"/>
        <w:spacing w:after="0" w:line="254" w:lineRule="auto"/>
        <w:rPr>
          <w:sz w:val="20"/>
          <w:szCs w:val="20"/>
          <w:color w:val="auto"/>
        </w:rPr>
      </w:pPr>
      <w:r>
        <w:rPr>
          <w:rFonts w:ascii="Times New Roman" w:cs="Times New Roman" w:eastAsia="Times New Roman" w:hAnsi="Times New Roman"/>
          <w:sz w:val="18"/>
          <w:szCs w:val="18"/>
          <w:color w:val="auto"/>
        </w:rPr>
        <w:t>Upon any consolidation, combination or merger of the Parent Guarantor or the Issuer, or any Transfer of all or substantially all of the assets of the Parent Guarantor and its Subsidiaries, taken as a whole, in accordance with the foregoing provisions of Section 5.01, in which the Issuer is not the continuing obligor under each series of Notes, the surviving entity formed by such consolidation or into which the Parent Guarantor or the Issuer is merged or to which such Transfer of all or substantially all of the assets of the Parent Guarantor and its Subsidiaries, taken as a whole, is made, will succeed to, and be substituted for, and may exercise every right and power of the Issuer under this Indenture and each series of Notes with the same effect as if such surviving entity had been named therein as the Issuer and, the Issuer and all of the Guarantors will be released from the obligation to pay the principal of and interest on such series of Notes or in respect of its related Guarantee, as the case may be, and all of the Issuer’s or such Guarantor’s other obligations and covenants under such Notes, this Indenture and its related Guarantee, if applicable.</w:t>
      </w:r>
    </w:p>
    <w:p>
      <w:pPr>
        <w:spacing w:after="0" w:line="19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ARTICLE SIX</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DEFAULTS AND REMEDIES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Each of the following constitutes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with respect to a series of Notes:</w:t>
      </w:r>
    </w:p>
    <w:p>
      <w:pPr>
        <w:spacing w:after="0" w:line="117" w:lineRule="exact"/>
        <w:rPr>
          <w:sz w:val="20"/>
          <w:szCs w:val="20"/>
          <w:color w:val="auto"/>
        </w:rPr>
      </w:pPr>
    </w:p>
    <w:p>
      <w:pPr>
        <w:ind w:left="5364" w:right="3120" w:hanging="4501"/>
        <w:spacing w:after="0" w:line="454" w:lineRule="auto"/>
        <w:tabs>
          <w:tab w:leader="none" w:pos="112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30 consecutive days in the payment when due of interest with respect to the Notes; -62-</w:t>
      </w:r>
    </w:p>
    <w:p>
      <w:pPr>
        <w:sectPr>
          <w:pgSz w:w="11900" w:h="16838" w:orient="portrait"/>
          <w:cols w:equalWidth="0" w:num="1">
            <w:col w:w="10984"/>
          </w:cols>
          <w:pgMar w:left="436" w:top="270" w:right="479" w:bottom="1440" w:gutter="0" w:footer="0" w:header="0"/>
        </w:sectPr>
      </w:pPr>
    </w:p>
    <w:bookmarkStart w:id="71" w:name="page72"/>
    <w:bookmarkEnd w:id="71"/>
    <w:p>
      <w:pPr>
        <w:ind w:right="780" w:firstLine="419"/>
        <w:spacing w:after="0" w:line="282" w:lineRule="auto"/>
        <w:tabs>
          <w:tab w:leader="none" w:pos="67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default in payment when due of principal or premium, if any, on the applicable series of Notes at maturity, upon redemption or otherwise;</w:t>
      </w:r>
    </w:p>
    <w:p>
      <w:pPr>
        <w:spacing w:after="0" w:line="53" w:lineRule="exact"/>
        <w:rPr>
          <w:rFonts w:ascii="Times New Roman" w:cs="Times New Roman" w:eastAsia="Times New Roman" w:hAnsi="Times New Roman"/>
          <w:sz w:val="18"/>
          <w:szCs w:val="18"/>
          <w:color w:val="auto"/>
        </w:rPr>
      </w:pPr>
    </w:p>
    <w:p>
      <w:pPr>
        <w:ind w:right="260" w:firstLine="419"/>
        <w:spacing w:after="0" w:line="266" w:lineRule="auto"/>
        <w:tabs>
          <w:tab w:leader="none" w:pos="67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Issuer for 60 consecutive days after receipt of notice from the Trustee or Holders of at least 25% in aggregate principal amount of the applicable series of Notes then outstanding under this Indenture (with a copy to the Trustee) to comply with the provisions under Section 4.07;</w:t>
      </w:r>
    </w:p>
    <w:p>
      <w:pPr>
        <w:spacing w:after="0" w:line="6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Parent Guarantor or any Subsidiary of the Parent Guarantor for 60 consecutive days (120 days with respect to</w:t>
      </w:r>
    </w:p>
    <w:p>
      <w:pPr>
        <w:spacing w:after="0" w:line="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Section 4.13) after receipt of notice from the Trustee or the Holders of at least 25% in aggregate principal amount of the applicable series of Notes then outstanding under this Indenture (with a copy to the Trustee) to comply with any covenant or agreement contained in this Indenture (other than the covenants and agreements specified in clauses (1) through (3) of this Section 6.01);</w:t>
      </w:r>
    </w:p>
    <w:p>
      <w:pPr>
        <w:spacing w:after="0" w:line="78" w:lineRule="exact"/>
        <w:rPr>
          <w:sz w:val="20"/>
          <w:szCs w:val="20"/>
          <w:color w:val="auto"/>
        </w:rPr>
      </w:pPr>
    </w:p>
    <w:p>
      <w:pPr>
        <w:ind w:right="100" w:firstLine="419"/>
        <w:spacing w:after="0" w:line="269" w:lineRule="auto"/>
        <w:tabs>
          <w:tab w:leader="none" w:pos="678"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under any mortgage, indenture or instrument under which there may be issued or by which there may be secured or evidenced any Indebtedness of the Parent Guarantor or any of its Subsidiaries (other than Indebtedness owed to the Parent Guarantor or any of its Subsidiaries), whether such Indebtedness now exists or is created after the Issue Date, which default (a) is caused by a failure to pay when due at final stated maturity (giving effect to any grace period related thereto) principal of such Indebtedness (a “</w:t>
      </w:r>
      <w:r>
        <w:rPr>
          <w:rFonts w:ascii="Times New Roman" w:cs="Times New Roman" w:eastAsia="Times New Roman" w:hAnsi="Times New Roman"/>
          <w:sz w:val="17"/>
          <w:szCs w:val="17"/>
          <w:u w:val="single" w:color="auto"/>
          <w:color w:val="auto"/>
        </w:rPr>
        <w:t>Payment Default</w:t>
      </w:r>
      <w:r>
        <w:rPr>
          <w:rFonts w:ascii="Times New Roman" w:cs="Times New Roman" w:eastAsia="Times New Roman" w:hAnsi="Times New Roman"/>
          <w:sz w:val="17"/>
          <w:szCs w:val="17"/>
          <w:color w:val="auto"/>
        </w:rPr>
        <w:t xml:space="preserve">”) or (b) results in the acceleration of such Indebtedness prior to its stated maturity, and, in each case, the principal amount of any such Indebtedness, together with the principal amount of any such Indebtedness under which there has been a Payment Default or the maturity of which has been so accelerated, aggregates $100.0 million or more; and, in each case, the Issuer has received notice specifying the default from the Trustee or Holders of at least 25% in aggregate principal amount of the applicable series of Notes then outstanding (with a copy to the Trustee) and does not cure the default within 30 days;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this clause (5) shall not apply to any default with respect to Indebtedness that is (A) remedied by the Parent Guarantor of any of its Subsidiaries prior to the acceleration of Notes, including by the discharge of such Indebtedness or (B) waived (including in the form of amendment or consent) by the required holders of the applicable item of Indebtedness prior to the acceleration of Notes, in each case, if the Issuer delivers an Officer’s Certificate to the Trustee certifying to the matters in clause (A) or this clause (B), as applicable;</w:t>
      </w:r>
    </w:p>
    <w:p>
      <w:pPr>
        <w:spacing w:after="0" w:line="70" w:lineRule="exact"/>
        <w:rPr>
          <w:rFonts w:ascii="Times New Roman" w:cs="Times New Roman" w:eastAsia="Times New Roman" w:hAnsi="Times New Roman"/>
          <w:sz w:val="17"/>
          <w:szCs w:val="17"/>
          <w:color w:val="auto"/>
        </w:rPr>
      </w:pPr>
    </w:p>
    <w:p>
      <w:pPr>
        <w:ind w:firstLine="419"/>
        <w:spacing w:after="0" w:line="281" w:lineRule="auto"/>
        <w:tabs>
          <w:tab w:leader="none" w:pos="678"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by the Parent Guarantor or any of its Subsidiaries to pay final and non-appealable judgments (net of any amounts covered by insurance and as to which such insurer has not denied responsibility or coverage in writing) aggregating $100.0 million or more, which judgments are not paid, discharged, bonded, stayed or waived within 60 days after such judgment becomes final, and in the event such judgment is covered in full by insurance, an enforcement proceeding has been commenced by any creditor upon such judgment or decree which is not promptly stayed;</w:t>
      </w:r>
    </w:p>
    <w:p>
      <w:pPr>
        <w:spacing w:after="0" w:line="9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560"/>
          </w:cols>
          <w:pgMar w:left="880" w:top="270" w:right="459" w:bottom="1440" w:gutter="0" w:footer="0" w:header="0"/>
        </w:sectPr>
      </w:pPr>
    </w:p>
    <w:bookmarkStart w:id="72" w:name="page73"/>
    <w:bookmarkEnd w:id="72"/>
    <w:p>
      <w:pPr>
        <w:ind w:left="440" w:firstLine="419"/>
        <w:spacing w:after="0" w:line="268" w:lineRule="auto"/>
        <w:tabs>
          <w:tab w:leader="none" w:pos="1118"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a court having jurisdiction over the Issuer, the Parent Guarantor or any Subsidiary enters (x) a decree or order for relief in respect of the Issuer, the Parent Guarantor or any Subsidiary that is a Significant Subsidiary or group of Subsidiaries of the Parent Guarantor that, taken together, would constitute a Significant Subsidiary in an involuntary case or proceeding under any Bankruptcy Law or (y) a decree or order adjudging the Issuer, the Parent Guarantor or any Subsidiary that is a Significant Subsidiary or group of Subsidiaries of the Parent Guarantor that, taken together, would constitute a Significant Subsidiary as bankrupt or insolvent, or approving as properly filed a petition seeking reorganization, arrangement, adjustment or composition of or in respect of the Issuer, the Parent Guarantor or any Subsidiary or group of Subsidiaries under any Bankruptcy Law, or appointing a custodian, receiver, liquidator, assignee, trustee, sequestrator or other similar official of the Issuer, the Parent Guarantor or any such Subsidiary or group of Subsidiaries or of any substantial part of its property, or ordering the winding up or liquidation of its affairs, and the continuance of any such decree or order for relief or any such other decree or order unstayed and in effect for a period of 60 consecutive days or (B) the Issuer, the Parent Guarantor or any Subsidiary that is a Significant Subsidiary or group of Subsidiaries of the Parent Guarantor that, taken together, would constitute a Significant Subsidiary (i) commences a voluntary case under any Bankruptcy Law or consents to the entry of an order for relief in an involuntary case under any Bankruptcy Law, (ii) consents to the appointment of or taking possession by a receiver, liquidator, assignee, custodian, trustee, sequestrator or similar official of the Issuer, the Parent Guarantor or any such Subsidiary or group of Subsidiaries or for all or substantially all the property and assets of the Issuer, the Parent Guarantor or any such Subsidiary or group of Subsidiaries, (iii) effects any general assignment for the benefit of creditors or (iv) generally is not paying its debts as they become due; and</w:t>
      </w:r>
    </w:p>
    <w:p>
      <w:pPr>
        <w:spacing w:after="0" w:line="73" w:lineRule="exact"/>
        <w:rPr>
          <w:rFonts w:ascii="Times New Roman" w:cs="Times New Roman" w:eastAsia="Times New Roman" w:hAnsi="Times New Roman"/>
          <w:sz w:val="17"/>
          <w:szCs w:val="17"/>
          <w:color w:val="auto"/>
        </w:rPr>
      </w:pPr>
    </w:p>
    <w:p>
      <w:pPr>
        <w:ind w:left="440" w:right="40" w:firstLine="419"/>
        <w:spacing w:after="0" w:line="261" w:lineRule="auto"/>
        <w:tabs>
          <w:tab w:leader="none" w:pos="111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 of any Guarantor that is a Significant Subsidiary ceases to be in full force and effect in all material respects (other than in accordance with the terms of such Guarantee and this Indenture) or is declared null and void and unenforceable or found to be invalid or any Guarantor denies its liability under its Guarantee (other than by reason of release of a Guarantor from its Guarantee in accordance with the terms of this Indenture and such Guarantee).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Acceleration of Maturity; Rescission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any Event of Default under this Indenture occurs and is continuing, either the Trustee or the Holders of at least 25% in aggregate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 the applicable series of Notes then outstanding, may declare all such series of Notes to be due and payable by notice in writing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Issuer and the Trustee, in the case of notice by Holders, specifying the respective Event of Default and that it is a “notice of acceleration”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same will become immediately due and payable;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notwithstanding the foregoing, if an Event of Default specified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6.01(7) occurs with respect to the Issuer or the Parent Guarantor, all outstanding Notes shall become due and payable without further action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960"/>
          </w:cols>
          <w:pgMar w:left="440" w:top="270" w:right="499" w:bottom="1440" w:gutter="0" w:footer="0" w:header="0"/>
        </w:sectPr>
      </w:pPr>
    </w:p>
    <w:bookmarkStart w:id="73" w:name="page74"/>
    <w:bookmarkEnd w:id="73"/>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foregoing, if after such acceleration but before a judgment or decree based on such acceleration is obtained by the Trustee, the Holders of a majority in aggregate principal amount of the outstanding applicable series of Notes may rescind and annul such acceleration if:</w:t>
      </w:r>
    </w:p>
    <w:p>
      <w:pPr>
        <w:spacing w:after="0" w:line="68" w:lineRule="exact"/>
        <w:rPr>
          <w:sz w:val="20"/>
          <w:szCs w:val="20"/>
          <w:color w:val="auto"/>
        </w:rPr>
      </w:pPr>
    </w:p>
    <w:p>
      <w:pPr>
        <w:ind w:left="440" w:right="660" w:firstLine="419"/>
        <w:spacing w:after="0" w:line="282" w:lineRule="auto"/>
        <w:tabs>
          <w:tab w:leader="none" w:pos="111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other than nonpayment of principal, premium, if any, or interest that has become due solely because of the acceleration, have been cured or waived;</w:t>
      </w:r>
    </w:p>
    <w:p>
      <w:pPr>
        <w:spacing w:after="0" w:line="53"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1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payment of such interest is lawful, interest on overdue installments of interest and overdue principal, which has become due otherwise than by such declaration of acceleration, has been paid;</w:t>
      </w:r>
    </w:p>
    <w:p>
      <w:pPr>
        <w:spacing w:after="0" w:line="53"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1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paid the Trustee its reasonable compensation and reimbursed the Trustee for its expenses, disbursements, indemnities and advances; and</w:t>
      </w:r>
    </w:p>
    <w:p>
      <w:pPr>
        <w:spacing w:after="0" w:line="53" w:lineRule="exact"/>
        <w:rPr>
          <w:rFonts w:ascii="Times New Roman" w:cs="Times New Roman" w:eastAsia="Times New Roman" w:hAnsi="Times New Roman"/>
          <w:sz w:val="18"/>
          <w:szCs w:val="18"/>
          <w:color w:val="auto"/>
        </w:rPr>
      </w:pPr>
    </w:p>
    <w:p>
      <w:pPr>
        <w:ind w:left="440" w:right="440" w:firstLine="419"/>
        <w:spacing w:after="0" w:line="282" w:lineRule="auto"/>
        <w:tabs>
          <w:tab w:leader="none" w:pos="111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cure or waiver of an Event of Default of the type described in Section 6.01(7), the Trustee shall have received an Officer’s Certificate and an Opinion of Counsel that such Event of Default has been cured or waived.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 such rescission shall affect any subsequent Default or impair any right consequent thereto.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Other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If an Event of Default occurs and is continuing, the Trustee may pursue any available remedy by proceeding at law or in equity to collect the payment of principal of, or premium, if any, and interest on the applicable series of Notes or to enforce the performance of any provision of the Notes or this Indenture and may take any necessary action requested by the Holders of a majority of the principal amount outstanding of the applicable series of Notes to settle, compromise, adjust or otherwise conclude any proceedings to which it is a party.</w:t>
      </w:r>
    </w:p>
    <w:p>
      <w:pPr>
        <w:spacing w:after="0" w:line="180"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The Trustee may maintain a proceeding even if it does not possess any of the Notes or does not produce any of them in the proceeding. A delay or omission by the Trustee or any Noteholder in exercising any right or remedy accruing upon an Event of Default shall not impair the right or remedy or constitute a waiver of or acquiescence in the Event of Default. No remedy is exclusive of any other remedy. All available remedies are cumulative. Any costs associated with actions taken by the Trustee under this Section 6.03 shall be reimbursed to the Trustee by the Issuer and the Guarantors.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Waiver of Existing Defaults and Events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8" w:lineRule="auto"/>
        <w:tabs>
          <w:tab w:leader="none" w:pos="123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Sections 2.10, 6.02, 6.08 and 8.02, the Holders of a majority in principal amount of any series of Notes then outstanding shall have the right to waive past Defaults and Events of Default under this Indenture applicable to such series </w:t>
      </w:r>
      <w:r>
        <w:rPr>
          <w:rFonts w:ascii="Times New Roman" w:cs="Times New Roman" w:eastAsia="Times New Roman" w:hAnsi="Times New Roman"/>
          <w:sz w:val="18"/>
          <w:szCs w:val="18"/>
          <w:i w:val="1"/>
          <w:iCs w:val="1"/>
          <w:color w:val="auto"/>
        </w:rPr>
        <w:t>except</w:t>
      </w:r>
      <w:r>
        <w:rPr>
          <w:rFonts w:ascii="Times New Roman" w:cs="Times New Roman" w:eastAsia="Times New Roman" w:hAnsi="Times New Roman"/>
          <w:sz w:val="18"/>
          <w:szCs w:val="18"/>
          <w:color w:val="auto"/>
        </w:rPr>
        <w:t xml:space="preserve"> a continuing Default or Event of Default in the payment of the principal of, or interest or premium, if any, on any Note as specified in clauses (1) and (2) of Section 6.01 or in respect of a covenant or a provision which cannot be modified or amended without the consent of all Holders as provided for in Section 8.02, which shall require the consent of all of the Holders of the applicable series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0"/>
          </w:cols>
          <w:pgMar w:left="440" w:top="270" w:right="459" w:bottom="1440" w:gutter="0" w:footer="0" w:header="0"/>
        </w:sectPr>
      </w:pPr>
    </w:p>
    <w:bookmarkStart w:id="74" w:name="page75"/>
    <w:bookmarkEnd w:id="74"/>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Notes then Outstanding. The Issuer shall deliver to the Trustee an Officer’s Certificate stating that the requisite percentage of Holders have consented to such waiver and attaching copies of such consents. In case of any such waiver, the Issuer, the Trustee and the Holders shall be restored to their former positions and rights hereunder and under the Notes, respectively.</w:t>
      </w:r>
    </w:p>
    <w:p>
      <w:pPr>
        <w:spacing w:after="0" w:line="176" w:lineRule="exact"/>
        <w:rPr>
          <w:sz w:val="20"/>
          <w:szCs w:val="20"/>
          <w:color w:val="auto"/>
        </w:rPr>
      </w:pPr>
    </w:p>
    <w:p>
      <w:pPr>
        <w:jc w:val="both"/>
        <w:ind w:right="220" w:firstLine="987"/>
        <w:spacing w:after="0" w:line="266" w:lineRule="auto"/>
        <w:tabs>
          <w:tab w:leader="none" w:pos="124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such waiver, such Default or Event of Default, as applicable, shall cease to exist, and, with respect to any waived Default, any Event of Default arising therefrom shall be deemed to have been cured for every purpose of this Indenture, but no such waiver shall extend to any subsequent or other Default or Event of Default or impair any right consequent thereto.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Control by Majority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Subject to Sections 2.10 and 7.01, the Holders of a majority in aggregate principal amount of the applicable series of outstanding Notes have the right to direct the time, method and place of conducting any proceeding for exercising any remedy available to the Trustee or exercising any trust or power conferred on the Trustee by this Indenture. The Trustee, however, may refuse to follow any direction that conflicts with law or this Indenture or that the Trustee determines may be unduly prejudicial to the rights of another Holder not taking part in such direction, and the Trustee shall have the right to decline to follow any such direction (it being understood that the Trustee does not have an affirmative duty to ascertain whether or not any such directions are unduly prejudicial to such Holders) if the Trustee, being advised by counsel, determines that the action so directed may not lawfully be taken or if the Trustee in good faith shall, by a Responsible Officer, determine that the proceedings so directed may involve it in personal liability;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Trustee may take any other action deemed proper by the Trustee which is not inconsistent with such direction. In the event the Trustee takes any action or follows any direction pursuant to this Indenture, the Trustee shall be entitled to indemnification reasonably satisfactory to it against any cost, liability or expense that might be caused by taking such action or following such direction.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Limitation on Suits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Holder may not pursue any remedy with respect to this Indenture or the Notes unless:</w:t>
      </w:r>
    </w:p>
    <w:p>
      <w:pPr>
        <w:spacing w:after="0" w:line="117" w:lineRule="exact"/>
        <w:rPr>
          <w:sz w:val="20"/>
          <w:szCs w:val="20"/>
          <w:color w:val="auto"/>
        </w:rPr>
      </w:pPr>
    </w:p>
    <w:p>
      <w:pPr>
        <w:ind w:left="1120" w:hanging="261"/>
        <w:spacing w:after="0"/>
        <w:tabs>
          <w:tab w:leader="none" w:pos="11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the Trustee written notice of a continuing Event of Default;</w:t>
      </w:r>
    </w:p>
    <w:p>
      <w:pPr>
        <w:spacing w:after="0" w:line="117" w:lineRule="exact"/>
        <w:rPr>
          <w:rFonts w:ascii="Times New Roman" w:cs="Times New Roman" w:eastAsia="Times New Roman" w:hAnsi="Times New Roman"/>
          <w:sz w:val="18"/>
          <w:szCs w:val="18"/>
          <w:color w:val="auto"/>
        </w:rPr>
      </w:pPr>
    </w:p>
    <w:p>
      <w:pPr>
        <w:ind w:left="440" w:firstLine="419"/>
        <w:spacing w:after="0" w:line="282" w:lineRule="auto"/>
        <w:tabs>
          <w:tab w:leader="none" w:pos="111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the applicable series of Notes then outstanding make a written request to the Trustee to pursue the remedy;</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offer the Trustee security or indemnity satisfactory to the Trustee against any costs, liability or expense;</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1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the request within 60 days after receipt of the request and the offer of security or indemnity against any cost, liability or expense that might be caused by complying with such request;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20"/>
          </w:cols>
          <w:pgMar w:left="440" w:top="270" w:right="439" w:bottom="1440" w:gutter="0" w:footer="0" w:header="0"/>
        </w:sectPr>
      </w:pPr>
    </w:p>
    <w:bookmarkStart w:id="75" w:name="page76"/>
    <w:bookmarkEnd w:id="75"/>
    <w:p>
      <w:pPr>
        <w:ind w:left="440" w:right="80" w:firstLine="419"/>
        <w:spacing w:after="0" w:line="282" w:lineRule="auto"/>
        <w:tabs>
          <w:tab w:leader="none" w:pos="111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during such 60-day period, the Holders of a majority in aggregate principal amount of the applicable series of Notes then outstanding do not give the Trustee a direction that is inconsistent with the request.</w:t>
      </w:r>
    </w:p>
    <w:p>
      <w:pPr>
        <w:spacing w:after="0" w:line="162"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A Noteholder may not use any provision of this Indenture to disturb or prejudice the rights of another Noteholder or to obtain a preference or priority over another Noteholder.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No Personal Liability of Directors, Officers, Employees and Stockholders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No director, officer, employee, incorporator or stockholder of the Parent Guarantor or of any Subsidiary of the Parent Guarantor, as such, shall have any liability for any obligations of the Issuer or the Guarantors under each series of Notes, this Indenture, the Guarantees or for any claim based on, in respect of, or by reason of, such obligations or their creation. Each Holder of any series of Notes by accepting a Note waives and releases all such liability. The waiver may not be effective to waive liabilities under the federal securities laws.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Rights of Holders To Receive Payment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89" w:lineRule="auto"/>
        <w:rPr>
          <w:sz w:val="20"/>
          <w:szCs w:val="20"/>
          <w:color w:val="auto"/>
        </w:rPr>
      </w:pPr>
      <w:r>
        <w:rPr>
          <w:rFonts w:ascii="Times New Roman" w:cs="Times New Roman" w:eastAsia="Times New Roman" w:hAnsi="Times New Roman"/>
          <w:sz w:val="17"/>
          <w:szCs w:val="17"/>
          <w:color w:val="auto"/>
        </w:rPr>
        <w:t>Notwithstanding any other provision of this Indenture, the right of any Holder of a Note to receive payment of the principal of or premium, if any, or interest, if any, on such Note on or after the respective due dates expressed in such Note, or to bring suit for the enforcement of any such payment, on or after such respective due dates, is absolute and unconditional and shall not be impaired or affected without the consent of the Holder.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Collection Suit by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If an Event of Default occurs and is continuing, the Trustee may recover judgment in its own name and as trustee of an express trust against the Issuer or any Guarantor (or any other obligor on the Notes) for the whole amount of unpaid principal and accrued interest remaining unpaid, together with interest on overdue principal and, to the extent that payment of such interest is lawful, interest on overdue installments of interest, in each case at the rate set forth in the applicable series of Notes, and such further amounts as shall be sufficient to cover the costs and expenses of collection, including the reasonable compensation, expenses, disbursements and advances of the Trustee, its agents and counsel.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Trustee May File Proofs of Claim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The Trustee may file such proofs of claim and other papers or documents as may be necessary or advisable in order to have the claims of the Trustee (including any claim for the reasonable compensation, expenses, disbursements and advances of the Trustee, its agents and counsel, and any other amounts due the Trustee under Section 7.07) and the Noteholders allowed in any judicial proceedings relative to the Issuer or any Guarantor (or any other obligor upon the Notes), its creditors or its property and shall be entitled and empowered to collect and receive any monies or other property payable or deliverable on any such claims and to distribute the same after deduction of its charges and expenses to the extent that any such charges and expenses are not paid out of the estate in any such proceedings and any custodian in any such judicial proceeding is hereby authorized by each Noteholder to make such payments to the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0"/>
          </w:cols>
          <w:pgMar w:left="440" w:top="270" w:right="459" w:bottom="1440" w:gutter="0" w:footer="0" w:header="0"/>
        </w:sectPr>
      </w:pPr>
    </w:p>
    <w:bookmarkStart w:id="76" w:name="page77"/>
    <w:bookmarkEnd w:id="76"/>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Trustee, and in the event that the Trustee shall consent to the making of such payments directly to the Noteholders, to pay to the Trustee any amount due to it for the reasonable compensation, expenses, disbursements and advances of the Trustee, its agents and counsel, and any other amounts due the Trustee under Section 7.07.</w:t>
      </w:r>
    </w:p>
    <w:p>
      <w:pPr>
        <w:spacing w:after="0" w:line="176" w:lineRule="exact"/>
        <w:rPr>
          <w:sz w:val="20"/>
          <w:szCs w:val="20"/>
          <w:color w:val="auto"/>
        </w:rPr>
      </w:pPr>
    </w:p>
    <w:p>
      <w:pPr>
        <w:ind w:right="560" w:firstLine="991"/>
        <w:spacing w:after="0" w:line="266" w:lineRule="auto"/>
        <w:rPr>
          <w:sz w:val="20"/>
          <w:szCs w:val="20"/>
          <w:color w:val="auto"/>
        </w:rPr>
      </w:pPr>
      <w:r>
        <w:rPr>
          <w:rFonts w:ascii="Times New Roman" w:cs="Times New Roman" w:eastAsia="Times New Roman" w:hAnsi="Times New Roman"/>
          <w:sz w:val="18"/>
          <w:szCs w:val="18"/>
          <w:color w:val="auto"/>
        </w:rPr>
        <w:t>Nothing herein contained shall be deemed to authorize the Trustee to authorize or consent to or accept or adopt on behalf of any Noteholder any plan or reorganization, arrangement, adjustment or composition affecting the Notes or the rights of any Noteholder thereof, or to authorize the Trustee to vote in respect of the claim of any Noteholder in any such proceedings.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Priorities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If the Trustee collects any money or property pursuant to this Article Six, and after an Event of Default any money or other property distributable in respect of the Company’s or Guarantors’ obligations under this Indenture, such money or property shall be paid out or distributed in the following order:</w:t>
      </w:r>
    </w:p>
    <w:p>
      <w:pPr>
        <w:spacing w:after="0" w:line="6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FIRST: to the Trustee and any predecessor Trustee for amounts due under Section 7.07;</w:t>
      </w:r>
    </w:p>
    <w:p>
      <w:pPr>
        <w:spacing w:after="0" w:line="117" w:lineRule="exact"/>
        <w:rPr>
          <w:sz w:val="20"/>
          <w:szCs w:val="20"/>
          <w:color w:val="auto"/>
        </w:rPr>
      </w:pPr>
    </w:p>
    <w:p>
      <w:pPr>
        <w:ind w:left="440" w:right="140" w:firstLine="423"/>
        <w:spacing w:after="0" w:line="282" w:lineRule="auto"/>
        <w:rPr>
          <w:sz w:val="20"/>
          <w:szCs w:val="20"/>
          <w:color w:val="auto"/>
        </w:rPr>
      </w:pPr>
      <w:r>
        <w:rPr>
          <w:rFonts w:ascii="Times New Roman" w:cs="Times New Roman" w:eastAsia="Times New Roman" w:hAnsi="Times New Roman"/>
          <w:sz w:val="18"/>
          <w:szCs w:val="18"/>
          <w:color w:val="auto"/>
        </w:rPr>
        <w:t>SECOND: to Noteholders for amounts due and unpaid on each series of Notes for principal, premium, if any, and interest, ratably, without preference or priority of any kind, according to the amounts due and payable on the Notes; and</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THIRD: to the Issuer or, to the extent the Trustee collects any amount from any Guarantor, to such Guarantor.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Trustee may fix a record date and payment date for any payment to Noteholders pursuant to this Section 6.11.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Undertaking for Costs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6.12 does not apply to a suit by the Trustee, a suit by a Noteholder pursuant to Section 6.08 or a suit by Noteholders of more than 10% in principal amount of the applicable series of Notes then outstanding.</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960"/>
          </w:cols>
          <w:pgMar w:left="440" w:top="270" w:right="49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SEVEN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TRUSTEE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Duties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66" w:lineRule="auto"/>
        <w:tabs>
          <w:tab w:leader="none" w:pos="123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Default or Event of Default actually known to a Responsible Officer of the Trustee has occurred and is continuing, the Trustee shall exercise such of the rights and powers vested in it by this Indenture and use the same degree of care and skill in their exercise as a prudent person under the circumstances would exercise or use under the same circumstances in the conduct of his or her own affairs.</w:t>
      </w:r>
    </w:p>
    <w:p>
      <w:pPr>
        <w:spacing w:after="0" w:line="176"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Except for an Event of Default pursuant to Section 6.01(1) or 6.01(2) (upon the occurrence of which the Trustee if then acting as Paying Agent will be deemed to have knowledge thereof), the Trustee shall not be deemed to have notice or be charged with knowledge of any Default or Event of Default unless a Responsible Officer of the Trustee has received written notice of any event which is in fact such a Default or Event of Default by the Issuer or by the Holders of at least 25% of the aggregate principal amount of the applicable series of Notes by written notice of such event sent to the Trustee in accordance with Section 11.01 at the Corporate Trust Office of the Trustee, and such notice references the Notes and this Indenture.</w:t>
      </w:r>
    </w:p>
    <w:p>
      <w:pPr>
        <w:spacing w:after="0" w:line="183" w:lineRule="exact"/>
        <w:rPr>
          <w:sz w:val="20"/>
          <w:szCs w:val="20"/>
          <w:color w:val="auto"/>
        </w:rPr>
      </w:pPr>
    </w:p>
    <w:p>
      <w:pPr>
        <w:ind w:left="1240" w:hanging="253"/>
        <w:spacing w:after="0"/>
        <w:tabs>
          <w:tab w:leader="none" w:pos="124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during the continuance of a Default or Event of Default of which a Responsible Officer of the Trustee has actual knowledge:</w:t>
      </w:r>
    </w:p>
    <w:p>
      <w:pPr>
        <w:spacing w:after="0" w:line="117" w:lineRule="exact"/>
        <w:rPr>
          <w:rFonts w:ascii="Times New Roman" w:cs="Times New Roman" w:eastAsia="Times New Roman" w:hAnsi="Times New Roman"/>
          <w:sz w:val="18"/>
          <w:szCs w:val="18"/>
          <w:color w:val="auto"/>
        </w:rPr>
      </w:pPr>
    </w:p>
    <w:p>
      <w:pPr>
        <w:ind w:left="440" w:right="300" w:firstLine="419"/>
        <w:spacing w:after="0" w:line="282" w:lineRule="auto"/>
        <w:tabs>
          <w:tab w:leader="none" w:pos="111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need perform only those duties that are specifically set forth in this Indenture and no others, and no implied covenants or obligations shall be read into this Indenture against the Trustee.</w:t>
      </w:r>
    </w:p>
    <w:p>
      <w:pPr>
        <w:spacing w:after="0" w:line="53" w:lineRule="exact"/>
        <w:rPr>
          <w:rFonts w:ascii="Times New Roman" w:cs="Times New Roman" w:eastAsia="Times New Roman" w:hAnsi="Times New Roman"/>
          <w:sz w:val="18"/>
          <w:szCs w:val="18"/>
          <w:color w:val="auto"/>
        </w:rPr>
      </w:pPr>
    </w:p>
    <w:p>
      <w:pPr>
        <w:ind w:left="440" w:right="20" w:firstLine="419"/>
        <w:spacing w:after="0" w:line="254" w:lineRule="auto"/>
        <w:tabs>
          <w:tab w:leader="none" w:pos="111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on their face to the requirements of this Indenture (but need not confirm or investigate the accuracy of mathematical calculations or other facts stated therein). Whenever in the administration of this Indenture the Trustee shall deem it desirable that a matter be proved or established prior to taking, suffering or omitting any action hereunder, the Trustee (unless other evidence be herein specifically prescribed) may require and, in the absence of bad faith on its part, conclusively rely upon an Officer’s Certificate, subject to the requirement in the preceding sentence, if applicable.</w:t>
      </w:r>
    </w:p>
    <w:p>
      <w:pPr>
        <w:spacing w:after="0" w:line="191" w:lineRule="exact"/>
        <w:rPr>
          <w:rFonts w:ascii="Times New Roman" w:cs="Times New Roman" w:eastAsia="Times New Roman" w:hAnsi="Times New Roman"/>
          <w:sz w:val="18"/>
          <w:szCs w:val="18"/>
          <w:color w:val="auto"/>
        </w:rPr>
      </w:pPr>
    </w:p>
    <w:p>
      <w:pPr>
        <w:ind w:right="800" w:firstLine="987"/>
        <w:spacing w:after="0" w:line="282" w:lineRule="auto"/>
        <w:tabs>
          <w:tab w:leader="none" w:pos="1236"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not be relieved from liability for its own negligent action, its own negligent failure to act, or its own willful misconduct, except that:</w:t>
      </w:r>
    </w:p>
    <w:p>
      <w:pPr>
        <w:spacing w:after="0" w:line="54" w:lineRule="exact"/>
        <w:rPr>
          <w:sz w:val="20"/>
          <w:szCs w:val="20"/>
          <w:color w:val="auto"/>
        </w:rPr>
      </w:pPr>
    </w:p>
    <w:p>
      <w:pPr>
        <w:ind w:left="5360" w:right="4620" w:hanging="4501"/>
        <w:spacing w:after="0" w:line="454" w:lineRule="auto"/>
        <w:tabs>
          <w:tab w:leader="none" w:pos="111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paragraph does not limit the effect of clause (b) of this Section 7.01. -69-</w:t>
      </w:r>
    </w:p>
    <w:p>
      <w:pPr>
        <w:sectPr>
          <w:pgSz w:w="11900" w:h="16838" w:orient="portrait"/>
          <w:cols w:equalWidth="0" w:num="1">
            <w:col w:w="11000"/>
          </w:cols>
          <w:pgMar w:left="440" w:top="270" w:right="459" w:bottom="1440" w:gutter="0" w:footer="0" w:header="0"/>
        </w:sectPr>
      </w:pPr>
    </w:p>
    <w:bookmarkStart w:id="78" w:name="page79"/>
    <w:bookmarkEnd w:id="78"/>
    <w:p>
      <w:pPr>
        <w:ind w:left="440" w:right="60" w:firstLine="419"/>
        <w:spacing w:after="0" w:line="282" w:lineRule="auto"/>
        <w:tabs>
          <w:tab w:leader="none" w:pos="111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not be liable for any error of judgment made in good faith by a Responsible Officer, unless it is proved that the Trustee was negligent in ascertaining the pertinent facts.</w:t>
      </w:r>
    </w:p>
    <w:p>
      <w:pPr>
        <w:spacing w:after="0" w:line="53"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1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it takes or omits to take in good faith in accordance with a direction received by it from a majority in aggregate principal amount of the applicable series of Notes outstanding pursuant to the terms of this Indenture.</w:t>
      </w:r>
    </w:p>
    <w:p>
      <w:pPr>
        <w:spacing w:after="0" w:line="161" w:lineRule="exact"/>
        <w:rPr>
          <w:rFonts w:ascii="Times New Roman" w:cs="Times New Roman" w:eastAsia="Times New Roman" w:hAnsi="Times New Roman"/>
          <w:sz w:val="18"/>
          <w:szCs w:val="18"/>
          <w:color w:val="auto"/>
        </w:rPr>
      </w:pPr>
    </w:p>
    <w:p>
      <w:pPr>
        <w:ind w:right="480" w:firstLine="987"/>
        <w:spacing w:after="0" w:line="282" w:lineRule="auto"/>
        <w:tabs>
          <w:tab w:leader="none" w:pos="1246"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therein expressly so provided, clauses (a), (b), (c) and (e) of this Section 7.01 shall govern every provision of this Indenture that in any way relates to the Trustee.</w:t>
      </w:r>
    </w:p>
    <w:p>
      <w:pPr>
        <w:spacing w:after="0" w:line="162"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 direction of any of the Holders pursuant to this Indenture, unless such Holders shall have offered to the Trustee security or indemnity satisfactory to the Trustee against the costs, expenses and liabilities which might be incurred by it in compliance with such request or direction (including, but in no way limited to, the fees and disbursements of agents and attorneys). The Trustee’s fees, expenses and indemnities (including, but in no way limited to, the fees and disbursements of agents and attorneys) are included in the amounts guaranteed by the Guarantees.</w:t>
      </w:r>
    </w:p>
    <w:p>
      <w:pPr>
        <w:spacing w:after="0" w:line="183" w:lineRule="exact"/>
        <w:rPr>
          <w:sz w:val="20"/>
          <w:szCs w:val="20"/>
          <w:color w:val="auto"/>
        </w:rPr>
      </w:pPr>
    </w:p>
    <w:p>
      <w:pPr>
        <w:jc w:val="both"/>
        <w:ind w:right="20" w:firstLine="987"/>
        <w:spacing w:after="0" w:line="261" w:lineRule="auto"/>
        <w:tabs>
          <w:tab w:leader="none" w:pos="123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interest on any money received by it except as the Trustee may agree in writing with the Issuer or any Guarantor. Money held in trust by the Trustee need not be segregated from other funds except to the extent required by the law. The Trustee shall not be accountable for any diminution in the value of any investments deposited with the Trustee, or any losses incurred upon any authorized disposition thereof.</w:t>
      </w:r>
    </w:p>
    <w:p>
      <w:pPr>
        <w:spacing w:after="0" w:line="179" w:lineRule="exact"/>
        <w:rPr>
          <w:rFonts w:ascii="Times New Roman" w:cs="Times New Roman" w:eastAsia="Times New Roman" w:hAnsi="Times New Roman"/>
          <w:sz w:val="18"/>
          <w:szCs w:val="18"/>
          <w:color w:val="auto"/>
        </w:rPr>
      </w:pPr>
    </w:p>
    <w:p>
      <w:pPr>
        <w:ind w:right="160" w:firstLine="987"/>
        <w:spacing w:after="0" w:line="266" w:lineRule="auto"/>
        <w:tabs>
          <w:tab w:leader="none" w:pos="121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require the Trustee to expend or risk its own funds or otherwise incur any financial liability in the performance of any of its rights, powers or duties. The Trustee shall not be required to give any bond or surety in respect of the performance of its powers or duties 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Rights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Subject to Section 7.01:</w:t>
      </w:r>
    </w:p>
    <w:p>
      <w:pPr>
        <w:spacing w:after="0" w:line="117" w:lineRule="exact"/>
        <w:rPr>
          <w:sz w:val="20"/>
          <w:szCs w:val="20"/>
          <w:color w:val="auto"/>
        </w:rPr>
      </w:pPr>
    </w:p>
    <w:p>
      <w:pPr>
        <w:ind w:left="440" w:right="200" w:firstLine="419"/>
        <w:spacing w:after="0" w:line="282" w:lineRule="auto"/>
        <w:tabs>
          <w:tab w:leader="none" w:pos="111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on any document (whether in its original or facsimile form) reasonably believed by it to be genuine and to have been signed or presented by the proper person. The Trustee need not investigate any fact or matter stated in the document.</w:t>
      </w:r>
    </w:p>
    <w:p>
      <w:pPr>
        <w:spacing w:after="0" w:line="53" w:lineRule="exact"/>
        <w:rPr>
          <w:rFonts w:ascii="Times New Roman" w:cs="Times New Roman" w:eastAsia="Times New Roman" w:hAnsi="Times New Roman"/>
          <w:sz w:val="18"/>
          <w:szCs w:val="18"/>
          <w:color w:val="auto"/>
        </w:rPr>
      </w:pPr>
    </w:p>
    <w:p>
      <w:pPr>
        <w:jc w:val="both"/>
        <w:ind w:left="440" w:right="260" w:firstLine="419"/>
        <w:spacing w:after="0" w:line="266" w:lineRule="auto"/>
        <w:tabs>
          <w:tab w:leader="none" w:pos="111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Trustee acts or refrains from acting, it may require and shall be entitled to receive an Officer’s Certificate or an Opinion of Counsel, or both, which shall conform to the provisions of Section 11.04. The Trustee shall be protected and shall not be liable for any action it takes or omits to take in good faith in reliance on such certificate or opinion.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00"/>
          </w:cols>
          <w:pgMar w:left="440" w:top="270" w:right="459" w:bottom="1440" w:gutter="0" w:footer="0" w:header="0"/>
        </w:sectPr>
      </w:pPr>
    </w:p>
    <w:bookmarkStart w:id="79" w:name="page80"/>
    <w:bookmarkEnd w:id="79"/>
    <w:p>
      <w:pPr>
        <w:ind w:left="440" w:right="300" w:firstLine="419"/>
        <w:spacing w:after="0" w:line="282" w:lineRule="auto"/>
        <w:tabs>
          <w:tab w:leader="none" w:pos="111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may act through its attorneys and agents and shall not be responsible for the misconduct or negligence of any attorney or agent appointed by it with due care.</w:t>
      </w:r>
    </w:p>
    <w:p>
      <w:pPr>
        <w:spacing w:after="0" w:line="53" w:lineRule="exact"/>
        <w:rPr>
          <w:rFonts w:ascii="Times New Roman" w:cs="Times New Roman" w:eastAsia="Times New Roman" w:hAnsi="Times New Roman"/>
          <w:sz w:val="18"/>
          <w:szCs w:val="18"/>
          <w:color w:val="auto"/>
        </w:rPr>
      </w:pPr>
    </w:p>
    <w:p>
      <w:pPr>
        <w:ind w:left="440" w:right="480" w:firstLine="419"/>
        <w:spacing w:after="0" w:line="282" w:lineRule="auto"/>
        <w:tabs>
          <w:tab w:leader="none" w:pos="111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not be liable for any action it takes or omits to take in good faith which it reasonably believes to be authorized or within its rights or powers;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Trustee’s conduct does not constitute negligence or willful misconduct.</w:t>
      </w:r>
    </w:p>
    <w:p>
      <w:pPr>
        <w:spacing w:after="0" w:line="53"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of its selection, and the advice or opinion of such counsel as to matters of law shall be full and complete authorization and protection from liability in respect of any action taken, omitted or suffered by it hereunder in good faith and in reliance on the advice or opinion of such counsel.</w:t>
      </w:r>
    </w:p>
    <w:p>
      <w:pPr>
        <w:spacing w:after="0" w:line="67" w:lineRule="exact"/>
        <w:rPr>
          <w:rFonts w:ascii="Times New Roman" w:cs="Times New Roman" w:eastAsia="Times New Roman" w:hAnsi="Times New Roman"/>
          <w:sz w:val="18"/>
          <w:szCs w:val="18"/>
          <w:color w:val="auto"/>
        </w:rPr>
      </w:pPr>
    </w:p>
    <w:p>
      <w:pPr>
        <w:ind w:left="440" w:right="100" w:firstLine="419"/>
        <w:spacing w:after="0" w:line="289" w:lineRule="auto"/>
        <w:tabs>
          <w:tab w:leader="none" w:pos="1118"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privileges, protections, immunities and benefits given to the Trustee, including, without limitation, its right to be compensated, reimbursed and indemnified, are extended to, and shall be enforceable by, the Trustee in each of its capacities hereunder (including but not limited to as Registrar, Paying Agent and Depositary Custodian), and each agent, custodian and other person employed to act hereunder.</w:t>
      </w:r>
    </w:p>
    <w:p>
      <w:pPr>
        <w:spacing w:after="0" w:line="49" w:lineRule="exact"/>
        <w:rPr>
          <w:rFonts w:ascii="Times New Roman" w:cs="Times New Roman" w:eastAsia="Times New Roman" w:hAnsi="Times New Roman"/>
          <w:sz w:val="17"/>
          <w:szCs w:val="17"/>
          <w:color w:val="auto"/>
        </w:rPr>
      </w:pPr>
    </w:p>
    <w:p>
      <w:pPr>
        <w:ind w:left="440" w:right="240" w:firstLine="419"/>
        <w:spacing w:after="0" w:line="282" w:lineRule="auto"/>
        <w:tabs>
          <w:tab w:leader="none" w:pos="111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the Trustee to perform any discretionary act enumerated in this Indenture shall not be construed as a duty, and the Trustee shall not be answerable for other than its own negligence or willful misconduct in the performance of such act.</w:t>
      </w:r>
    </w:p>
    <w:p>
      <w:pPr>
        <w:spacing w:after="0" w:line="53"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11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from time to time request that the Issuer deliver an Officer’s Certificate setting forth the names of individuals and/or titles of officers authorized at such time to take specified actions pursuant to this Indenture, which Officer’s Certificate may be signed by any persons authorized to sign an Officer’s Certificate, including any person specified as so authorized in any such certificate previously delivered and not superseded.</w:t>
      </w:r>
    </w:p>
    <w:p>
      <w:pPr>
        <w:spacing w:after="0" w:line="71" w:lineRule="exact"/>
        <w:rPr>
          <w:rFonts w:ascii="Times New Roman" w:cs="Times New Roman" w:eastAsia="Times New Roman" w:hAnsi="Times New Roman"/>
          <w:sz w:val="18"/>
          <w:szCs w:val="18"/>
          <w:color w:val="auto"/>
        </w:rPr>
      </w:pPr>
    </w:p>
    <w:p>
      <w:pPr>
        <w:ind w:left="440" w:right="420" w:firstLine="419"/>
        <w:spacing w:after="0" w:line="266" w:lineRule="auto"/>
        <w:tabs>
          <w:tab w:leader="none" w:pos="111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67" w:lineRule="exact"/>
        <w:rPr>
          <w:rFonts w:ascii="Times New Roman" w:cs="Times New Roman" w:eastAsia="Times New Roman" w:hAnsi="Times New Roman"/>
          <w:sz w:val="18"/>
          <w:szCs w:val="18"/>
          <w:color w:val="auto"/>
        </w:rPr>
      </w:pPr>
    </w:p>
    <w:p>
      <w:pPr>
        <w:ind w:left="440" w:right="400" w:firstLine="419"/>
        <w:spacing w:after="0" w:line="266" w:lineRule="auto"/>
        <w:tabs>
          <w:tab w:leader="none" w:pos="120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bound to make any investigation into the facts or matters stated in any resolution, certificate, statement, instrument, opinion, report, notice, request, direction, consent, order, bond, debenture, note, other evidence of indebtedness, or other paper or document, or inquire as to the performance by the Issuer or the Guarantors of any of their covenants in this Indenture.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Individual Rights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300" w:firstLine="991"/>
        <w:spacing w:after="0" w:line="266" w:lineRule="auto"/>
        <w:rPr>
          <w:sz w:val="20"/>
          <w:szCs w:val="20"/>
          <w:color w:val="auto"/>
        </w:rPr>
      </w:pPr>
      <w:r>
        <w:rPr>
          <w:rFonts w:ascii="Times New Roman" w:cs="Times New Roman" w:eastAsia="Times New Roman" w:hAnsi="Times New Roman"/>
          <w:sz w:val="18"/>
          <w:szCs w:val="18"/>
          <w:color w:val="auto"/>
        </w:rPr>
        <w:t>The Trustee in its individual or any other capacity may become the owner or pledgee of Notes and may make loans to, accept deposits from, perform services for or otherwise deal with either the Issuer or any Guarantor, or any Affiliates thereof, with the same rights it would have if it were not Trustee. Any Agent may do the same with like rights. The Trustee shall also be subject to Sections 7.10 and 7.11.</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0"/>
          </w:cols>
          <w:pgMar w:left="440" w:top="270"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7.04. </w:t>
      </w:r>
      <w:r>
        <w:rPr>
          <w:rFonts w:ascii="Times New Roman" w:cs="Times New Roman" w:eastAsia="Times New Roman" w:hAnsi="Times New Roman"/>
          <w:sz w:val="18"/>
          <w:szCs w:val="18"/>
          <w:u w:val="single" w:color="auto"/>
          <w:color w:val="auto"/>
        </w:rPr>
        <w:t>Trustee’s Disclaimer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The Trustee shall not be responsible for and makes no representation as to the validity or adequacy of this Indenture or the Notes or any Guarantee, it shall not be accountable for the Issuer’s or any Guarantor’s use of the proceeds from the sale of Notes, it will not be responsible for the use or application of any money received by any Paying Agent (other than itself as Paying Agent) or any money paid to the Issuer or any Guarantor pursuant to the terms of this Indenture and it shall not be responsible for any statement in the Notes, the Guarantees or this Indenture other than its certificate of authentication. The Trustee shall not be responsible for any statement in the Offering Memorandum or any other document utilized by the Issuer in connection with the sale of the Notes, shall not be responsible for compliance with securities laws in connection with the issuance and sale of the Notes, and shall not be responsible for any rating on the Notes or any action or omission of any Rating Agency.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Notice of Defaults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If a Default or Event of Default with respect to a series of Notes occurs and is continuing (which shall not be cured or waived) and if it is known to the Trustee (pursuant to Section 7.01(a) hereof), the Trustee shall give to each Noteholder of the applicable series a notice of the Default or Event of Default within 90 days after it occurs in the manner as provided in this Indenture. Except in the case of a Default or Event of Default relating to the payment of the principal of or interest on any Note (including payments pursuant to a redemption or repurchase of the Notes pursuant to the provisions of this Indenture), the Trustee may withhold the notice if and so long as the board of directors, the executive committee or a trust committee of directors or Responsible Officers of the Trustee in good faith determines that withholding the notice is in the interests of Holders.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7.06.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Compensation and Indemnity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81" w:lineRule="auto"/>
        <w:rPr>
          <w:sz w:val="20"/>
          <w:szCs w:val="20"/>
          <w:color w:val="auto"/>
        </w:rPr>
      </w:pPr>
      <w:r>
        <w:rPr>
          <w:rFonts w:ascii="Times New Roman" w:cs="Times New Roman" w:eastAsia="Times New Roman" w:hAnsi="Times New Roman"/>
          <w:sz w:val="17"/>
          <w:szCs w:val="17"/>
          <w:color w:val="auto"/>
        </w:rPr>
        <w:t>The Issuer and the Guarantors shall pay to the Trustee from time to time compensation as agreed upon for its services hereunder (which compensation shall not be limited by any provision of law in regard to the compensation of a trustee of an express trust). The Issuer and the Guarantors shall reimburse the Trustee upon request for all reasonable disbursements, expenses and advances incurred or made by it in connection with the Trustee’s duties under this Indenture, including the reasonable compensation, disbursements and expenses of the Trustee’s agents and external counsel.</w:t>
      </w:r>
    </w:p>
    <w:p>
      <w:pPr>
        <w:spacing w:after="0" w:line="164"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The Issuer and the Guarantors, jointly and severally, shall indemnify each of the Trustee and its agents, employees, stockholders, directors and officers and any predecessor Trustee for, and hold each of them harmless against, any and all loss, damage, claim, liability or expense, including without limitation taxes (other than taxes based on the income of the Trustee) and reasonable attorneys’ fees and expenses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incurred by each of them in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0"/>
          </w:cols>
          <w:pgMar w:left="440" w:top="270" w:right="459" w:bottom="1440" w:gutter="0" w:footer="0" w:header="0"/>
        </w:sectPr>
      </w:pPr>
    </w:p>
    <w:bookmarkStart w:id="81" w:name="page82"/>
    <w:bookmarkEnd w:id="81"/>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connection with the acceptance or administration of this Indenture or the performance of its duties under this Indenture or the exercise of its rights and powers under the Notes and the Guarantees, including the costs and expenses of enforcing this Indenture (including this Section 7.07), the Notes and the Guarantees or otherwise arising under this Indenture and including the reasonable costs and expenses of defending itself against any claim (whether asserted by any Holder, the Issuer, any Guarantor or otherwise) or liability in connection with the exercise or performance of any of its rights, powers or duties hereunder (including, without limitation, settlement costs). The Trustee shall notify the Issuer and the Guarantors in writing promptly of any third party claim of which a Responsible Officer of the Trustee has actual knowledge asserted against the Trustee for which it may seek indemnity (each, a “</w:t>
      </w:r>
      <w:r>
        <w:rPr>
          <w:rFonts w:ascii="Times New Roman" w:cs="Times New Roman" w:eastAsia="Times New Roman" w:hAnsi="Times New Roman"/>
          <w:sz w:val="18"/>
          <w:szCs w:val="18"/>
          <w:u w:val="single" w:color="auto"/>
          <w:color w:val="auto"/>
        </w:rPr>
        <w:t>Third Party Claim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failure by the Trustee to so notify the Issuer and the Guarantors shall not relieve the Issuer and Guarantors of their obligations hereunder except to the extent the Issuer and the Guarantors are actually prejudiced thereby. Neither the Issuer nor any Guarantor need pay for any settlement or provide any indemnification for any other Losses associated therewith to the extent such settlement is made in connection with any Third Party Claim without its consent, which consent may be withheld in its sole discretion. The Trustee shall have the right to its own counsel and the Issuer shall pay the reasonable fees and expenses of such counsel in connection with any Third Party Claim to the extent the Trustee reasonably determines that a conflict of interest exists or is required in connection with the performance of its duties under this Indenture.</w:t>
      </w:r>
    </w:p>
    <w:p>
      <w:pPr>
        <w:spacing w:after="0" w:line="190"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Notwithstanding the foregoing, the Issuer and the Guarantors need not reimburse the Trustee for any expense or indemnify it against any loss or liability to have been incurred by the Trustee through its own negligence, bad faith or willful misconduct.</w:t>
      </w:r>
    </w:p>
    <w:p>
      <w:pPr>
        <w:spacing w:after="0" w:line="162"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To secure the payment obligations of the Issuer and the Guarantors in this Section 7.07, the Trustee shall have a lien prior to each series of Notes on all money or property held or collected by the Trustee except for such money or property held in trust to pay principal of and interest on particular Notes. Such lien shall survive the satisfaction and discharge of this Indenture.</w:t>
      </w:r>
    </w:p>
    <w:p>
      <w:pPr>
        <w:spacing w:after="0" w:line="176"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The obligations of the Issuer and the Guarantors under this Section 7.07 to compensate and indemnify the Trustee and each predecessor Trustee and to pay or reimburse the Trustee and each predecessor Trustee for expenses, disbursements and advances shall be joint and several liabilities of the Issuer and each of the Guarantors and shall survive the resignation or removal of the Trustee and the satisfaction, discharge or other termination of this Indenture, including any termination or rejection hereof under any Bankruptcy Law.</w:t>
      </w:r>
    </w:p>
    <w:p>
      <w:pPr>
        <w:spacing w:after="0" w:line="180"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When the Trustee incurs expenses or renders services after an Event of Default specified in Section 6.01(7) occurs, the expenses and the compensation for the services are intended to constitute expenses of administration under any applicable Bankruptcy Law.</w:t>
      </w:r>
    </w:p>
    <w:p>
      <w:pPr>
        <w:spacing w:after="0" w:line="160" w:lineRule="exact"/>
        <w:rPr>
          <w:sz w:val="20"/>
          <w:szCs w:val="20"/>
          <w:color w:val="auto"/>
        </w:rPr>
      </w:pPr>
    </w:p>
    <w:p>
      <w:pPr>
        <w:jc w:val="both"/>
        <w:ind w:right="20" w:firstLine="991"/>
        <w:spacing w:after="0" w:line="267" w:lineRule="auto"/>
        <w:rPr>
          <w:sz w:val="20"/>
          <w:szCs w:val="20"/>
          <w:color w:val="auto"/>
        </w:rPr>
      </w:pPr>
      <w:r>
        <w:rPr>
          <w:rFonts w:ascii="Times New Roman" w:cs="Times New Roman" w:eastAsia="Times New Roman" w:hAnsi="Times New Roman"/>
          <w:sz w:val="18"/>
          <w:szCs w:val="18"/>
          <w:color w:val="auto"/>
        </w:rPr>
        <w:t xml:space="preserve">For purposes of this Section 7.07, the term “Trustee” shall include any trustee appointed pursuant to this Article Seven,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negligence, willful misconduct or bad faith of any Trustee hereunder shall not affect the rights of any other Trustee hereunder. The provisions of this Section 7.07 shall apply to Trustee in its capacity as Paying Agent, Registrar and any other Agent under this Indenture.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0"/>
          </w:cols>
          <w:pgMar w:left="440" w:top="270"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7.08. </w:t>
      </w:r>
      <w:r>
        <w:rPr>
          <w:rFonts w:ascii="Times New Roman" w:cs="Times New Roman" w:eastAsia="Times New Roman" w:hAnsi="Times New Roman"/>
          <w:sz w:val="18"/>
          <w:szCs w:val="18"/>
          <w:u w:val="single" w:color="auto"/>
          <w:color w:val="auto"/>
        </w:rPr>
        <w:t>Replacement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89" w:lineRule="auto"/>
        <w:rPr>
          <w:sz w:val="20"/>
          <w:szCs w:val="20"/>
          <w:color w:val="auto"/>
        </w:rPr>
      </w:pPr>
      <w:r>
        <w:rPr>
          <w:rFonts w:ascii="Times New Roman" w:cs="Times New Roman" w:eastAsia="Times New Roman" w:hAnsi="Times New Roman"/>
          <w:sz w:val="17"/>
          <w:szCs w:val="17"/>
          <w:color w:val="auto"/>
        </w:rPr>
        <w:t>The Trustee may resign at any time by so notifying the Issuer and the Guarantors in writing. The Holders of a majority in principal amount of each series of outstanding Notes may remove the Trustee by notifying the Issuer and the removed Trustee in writing and may appoint a successor Trustee with the Issuer’s written consent, which consent shall not be unreasonably withheld. The Issuer may remove the Trustee at its election if:</w:t>
      </w:r>
    </w:p>
    <w:p>
      <w:pPr>
        <w:spacing w:after="0" w:line="50" w:lineRule="exact"/>
        <w:rPr>
          <w:sz w:val="20"/>
          <w:szCs w:val="20"/>
          <w:color w:val="auto"/>
        </w:rPr>
      </w:pPr>
    </w:p>
    <w:p>
      <w:pPr>
        <w:ind w:left="1120" w:hanging="261"/>
        <w:spacing w:after="0"/>
        <w:tabs>
          <w:tab w:leader="none" w:pos="11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comply with Section 7.10;</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is adjudged a bankrupt or an insolvent or an order for relief is entered with respect to the Trustee under any Bankruptcy Law;</w:t>
      </w:r>
    </w:p>
    <w:p>
      <w:pPr>
        <w:spacing w:after="0" w:line="128" w:lineRule="exact"/>
        <w:rPr>
          <w:rFonts w:ascii="Times New Roman" w:cs="Times New Roman" w:eastAsia="Times New Roman" w:hAnsi="Times New Roman"/>
          <w:sz w:val="17"/>
          <w:szCs w:val="17"/>
          <w:color w:val="auto"/>
        </w:rPr>
      </w:pPr>
    </w:p>
    <w:p>
      <w:pPr>
        <w:ind w:left="1120" w:hanging="261"/>
        <w:spacing w:after="0"/>
        <w:tabs>
          <w:tab w:leader="none" w:pos="11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receiver or other public officer takes charge of the Trustee or its property; or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otherwise becomes incapable of acting.</w:t>
      </w:r>
    </w:p>
    <w:p>
      <w:pPr>
        <w:spacing w:after="0" w:line="225" w:lineRule="exact"/>
        <w:rPr>
          <w:sz w:val="20"/>
          <w:szCs w:val="20"/>
          <w:color w:val="auto"/>
        </w:rPr>
      </w:pPr>
    </w:p>
    <w:p>
      <w:pPr>
        <w:ind w:right="540" w:firstLine="991"/>
        <w:spacing w:after="0" w:line="282" w:lineRule="auto"/>
        <w:rPr>
          <w:sz w:val="20"/>
          <w:szCs w:val="20"/>
          <w:color w:val="auto"/>
        </w:rPr>
      </w:pPr>
      <w:r>
        <w:rPr>
          <w:rFonts w:ascii="Times New Roman" w:cs="Times New Roman" w:eastAsia="Times New Roman" w:hAnsi="Times New Roman"/>
          <w:sz w:val="18"/>
          <w:szCs w:val="18"/>
          <w:color w:val="auto"/>
        </w:rPr>
        <w:t>If the Trustee resigns or is removed or if a vacancy exists in the office of Trustee for any reason, the Issuer shall promptly appoint a successor Trustee.</w:t>
      </w:r>
    </w:p>
    <w:p>
      <w:pPr>
        <w:spacing w:after="0" w:line="162"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If a successor Trustee does not take office within 60 days after the retiring Trustee resigns or is removed, the retiring Trustee, the Issuer or the Holders of a majority in principal amount of each series of outstanding Notes may petition at the expense of the Issuer any court of competent jurisdiction for the appointment of a successor Trustee.</w:t>
      </w:r>
    </w:p>
    <w:p>
      <w:pPr>
        <w:spacing w:after="0" w:line="176"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If the Trustee fails to comply with Section 7.10, Noteholders holding at least 10% in principal amount of the Notes may petition any court of competent jurisdiction for the removal of the Trustee and the appointment of a successor Trustee.</w:t>
      </w:r>
    </w:p>
    <w:p>
      <w:pPr>
        <w:spacing w:after="0" w:line="162"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A successor Trustee shall deliver a written acceptance of its appointment to the retiring Trustee and to the Issuer. Immediately following such delivery, the retiring Trustee shall, subject to its rights under Section 7.07, transfer all property held by it as Trustee to the successor Trustee, the resignation or removal of the retiring Trustee shall become effective, and the successor Trustee shall have all the rights, powers and duties of the Trustee under this Indenture. A successor Trustee shall mail notice of its succession to each Noteholder. Notwithstanding replacement of the Trustee pursuant to this Section 7.08, the Issuer’s obligations under Section 7.07 shall continue for the benefit of the retiring Trustee.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u w:val="single" w:color="auto"/>
          <w:color w:val="auto"/>
        </w:rPr>
        <w:t>Successor Trustee by Consolidation, Merger, etc.</w:t>
      </w:r>
    </w:p>
    <w:p>
      <w:pPr>
        <w:spacing w:after="0" w:line="225"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If the Trustee consolidates with, merges or converts into, or transfers all or substantially all of its corporate trust assets to, another corporation, subject to Section 7.10, the successor corporation without any further act shall be the successor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entity shall be otherwise qualified and eligible under this Article Seven.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980"/>
          </w:cols>
          <w:pgMar w:left="440" w:top="270" w:right="4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7.10. </w:t>
      </w:r>
      <w:r>
        <w:rPr>
          <w:rFonts w:ascii="Times New Roman" w:cs="Times New Roman" w:eastAsia="Times New Roman" w:hAnsi="Times New Roman"/>
          <w:sz w:val="18"/>
          <w:szCs w:val="18"/>
          <w:u w:val="single" w:color="auto"/>
          <w:color w:val="auto"/>
        </w:rPr>
        <w:t>Eligibility; Disqualification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There will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$100.0 million as set forth in its most recent published annual report of condition.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Paying Agents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Issuer shall cause each Paying Agent other than the Trustee to execute and deliver to it and the Trustee an instrument in which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Paying Agent shall agree with the Trustee, subject to the provisions of this Section 7.11:</w:t>
      </w:r>
    </w:p>
    <w:p>
      <w:pPr>
        <w:spacing w:after="0" w:line="99" w:lineRule="exact"/>
        <w:rPr>
          <w:sz w:val="20"/>
          <w:szCs w:val="20"/>
          <w:color w:val="auto"/>
        </w:rPr>
      </w:pPr>
    </w:p>
    <w:p>
      <w:pPr>
        <w:ind w:left="440" w:right="120" w:firstLine="419"/>
        <w:spacing w:after="0" w:line="282" w:lineRule="auto"/>
        <w:tabs>
          <w:tab w:leader="none" w:pos="115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hold all sums held by it as agent for the payment of principal of, or premium, if any, or interest on, the Notes (whether such sums have been paid to it by the Issuer or by any obligor on the Notes) in trust for the benefit of Holders of the Notes or the Trustee;</w:t>
      </w:r>
    </w:p>
    <w:p>
      <w:pPr>
        <w:spacing w:after="0" w:line="53"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4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at any time during the continuance of any Event of Default, upon written request from the Trustee, deliver to the Trustee all sums so held in trust by it together with a full accounting thereof; and</w:t>
      </w:r>
    </w:p>
    <w:p>
      <w:pPr>
        <w:spacing w:after="0" w:line="53"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4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give the Trustee written notice within three Business Days of any failure of the Issuer (or by any obligor on the Notes) in the payment of any installment of the principal of, premium, if any, or interest on, the Notes when the same shall be due and payable.</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EIGHT</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AMENDMENT, SUPPLEMENT AND WAIVER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Without Consent of Noteholders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20" w:firstLine="991"/>
        <w:spacing w:after="0" w:line="266" w:lineRule="auto"/>
        <w:rPr>
          <w:sz w:val="20"/>
          <w:szCs w:val="20"/>
          <w:color w:val="auto"/>
        </w:rPr>
      </w:pPr>
      <w:r>
        <w:rPr>
          <w:rFonts w:ascii="Times New Roman" w:cs="Times New Roman" w:eastAsia="Times New Roman" w:hAnsi="Times New Roman"/>
          <w:sz w:val="18"/>
          <w:szCs w:val="18"/>
          <w:color w:val="auto"/>
        </w:rPr>
        <w:t>Notwithstanding Section 8.02, the Issuer, the Guarantors (except that any existing Guarantors need not execute a supplemental indenture entered into pursuant to clause (5) below) and the Trustee may amend or supplement this Indenture, any series of Notes or the Guarantees without the consent of any Holder for any of the following purposes:</w:t>
      </w:r>
    </w:p>
    <w:p>
      <w:pPr>
        <w:spacing w:after="0" w:line="68" w:lineRule="exact"/>
        <w:rPr>
          <w:sz w:val="20"/>
          <w:szCs w:val="20"/>
          <w:color w:val="auto"/>
        </w:rPr>
      </w:pPr>
    </w:p>
    <w:p>
      <w:pPr>
        <w:ind w:left="1120" w:hanging="261"/>
        <w:spacing w:after="0"/>
        <w:tabs>
          <w:tab w:leader="none" w:pos="11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omission, defect or inconsistency;</w:t>
      </w:r>
    </w:p>
    <w:p>
      <w:pPr>
        <w:spacing w:after="0" w:line="117" w:lineRule="exact"/>
        <w:rPr>
          <w:rFonts w:ascii="Times New Roman" w:cs="Times New Roman" w:eastAsia="Times New Roman" w:hAnsi="Times New Roman"/>
          <w:sz w:val="18"/>
          <w:szCs w:val="18"/>
          <w:color w:val="auto"/>
        </w:rPr>
      </w:pPr>
    </w:p>
    <w:p>
      <w:pPr>
        <w:ind w:left="5360" w:right="4160" w:hanging="4501"/>
        <w:spacing w:after="0" w:line="454" w:lineRule="auto"/>
        <w:tabs>
          <w:tab w:leader="none" w:pos="11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Notes in addition to or in place of Physical Notes; -75-</w:t>
      </w:r>
    </w:p>
    <w:p>
      <w:pPr>
        <w:sectPr>
          <w:pgSz w:w="11900" w:h="16838" w:orient="portrait"/>
          <w:cols w:equalWidth="0" w:num="1">
            <w:col w:w="10940"/>
          </w:cols>
          <w:pgMar w:left="440" w:top="270" w:right="519" w:bottom="1440" w:gutter="0" w:footer="0" w:header="0"/>
        </w:sectPr>
      </w:pPr>
    </w:p>
    <w:bookmarkStart w:id="84" w:name="page85"/>
    <w:bookmarkEnd w:id="84"/>
    <w:p>
      <w:pPr>
        <w:ind w:left="440" w:right="640" w:firstLine="419"/>
        <w:spacing w:after="0" w:line="282" w:lineRule="auto"/>
        <w:tabs>
          <w:tab w:leader="none" w:pos="111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provide for the assumption of the Issuer’s or any Guarantor’s obligations to the Holders of such Notes in the case of a merger, consolidation, Division or Transfer of sale of all or substantially all of the Issuer’s or such Guarantor’s assets;</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Notes of such series;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Guarantor or release any Guarantor from its Guarantee if such release is in accordance with the terms of this Indenture;</w:t>
      </w:r>
    </w:p>
    <w:p>
      <w:pPr>
        <w:spacing w:after="0" w:line="117" w:lineRule="exact"/>
        <w:rPr>
          <w:rFonts w:ascii="Times New Roman" w:cs="Times New Roman" w:eastAsia="Times New Roman" w:hAnsi="Times New Roman"/>
          <w:sz w:val="18"/>
          <w:szCs w:val="18"/>
          <w:color w:val="auto"/>
        </w:rPr>
      </w:pPr>
    </w:p>
    <w:p>
      <w:pPr>
        <w:jc w:val="both"/>
        <w:ind w:left="440" w:right="20" w:firstLine="419"/>
        <w:spacing w:after="0" w:line="289" w:lineRule="auto"/>
        <w:tabs>
          <w:tab w:leader="none" w:pos="1118"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conform the text of this Indenture, the Notes, or the Guarantees to any provision of the “Description of Notes” set forth in the Offering Memorandum to the extent that such provision in the “Description of Notes” set forth in the Offering Memorandum was intended to be a verbatim recitation of a provision of this Indenture, the Notes, or the Guarantees, which intent may be evidenced by an Officer’s Certificate to that effect;</w:t>
      </w:r>
    </w:p>
    <w:p>
      <w:pPr>
        <w:spacing w:after="0" w:line="49" w:lineRule="exact"/>
        <w:rPr>
          <w:rFonts w:ascii="Times New Roman" w:cs="Times New Roman" w:eastAsia="Times New Roman" w:hAnsi="Times New Roman"/>
          <w:sz w:val="17"/>
          <w:szCs w:val="17"/>
          <w:color w:val="auto"/>
        </w:rPr>
      </w:pPr>
    </w:p>
    <w:p>
      <w:pPr>
        <w:ind w:left="1120" w:hanging="261"/>
        <w:spacing w:after="0"/>
        <w:tabs>
          <w:tab w:leader="none" w:pos="11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Additional Notes in accordance with the limitations set forth in this Indenture as of the date hereof;</w:t>
      </w:r>
    </w:p>
    <w:p>
      <w:pPr>
        <w:spacing w:after="0" w:line="117" w:lineRule="exact"/>
        <w:rPr>
          <w:rFonts w:ascii="Times New Roman" w:cs="Times New Roman" w:eastAsia="Times New Roman" w:hAnsi="Times New Roman"/>
          <w:sz w:val="18"/>
          <w:szCs w:val="18"/>
          <w:color w:val="auto"/>
        </w:rPr>
      </w:pPr>
    </w:p>
    <w:p>
      <w:pPr>
        <w:ind w:left="440" w:firstLine="419"/>
        <w:spacing w:after="0" w:line="282" w:lineRule="auto"/>
        <w:tabs>
          <w:tab w:leader="none" w:pos="111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would provide any additional rights or benefits to the Holders of such Notes or that does not adversely affect the rights under this Indenture of any Holder in any material respect; or</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customary provisions allowing for the issuance of Additional Notes into escrow.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With Consent of Noteholders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53" w:lineRule="auto"/>
        <w:tabs>
          <w:tab w:leader="none" w:pos="123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to the extent provided in Section 8.01 and clause (b) of this Section 8.02, this Indenture, the Notes or any Guarantee may be amended with the consent of the Holders of at least a majority in aggregate principal amount of the then outstanding Notes voting as a single class (including, without limitation, consents obtained in connection with a purchase of, tender offer or exchange offer for Notes), and any existing Default or compliance with any provision of this Indenture, the Notes or any Guarantee may be waived with the consent of the Holders of a majority in aggregate principal amount of the then outstanding Notes voting as a single class (including, without limitation, consents obtained in connection with a purchase of, tender offer or exchange offer for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if any such amendment, supplement or waiver will only affect one series of Notes (or less than all series of Notes) then outstanding under this Indenture, then only the consent of the Holders of at least a majority in principal amount of the Notes of such series then outstanding (including, without limitation, consents obtained in connection with a purchase of, or tender offer or exchange offer for, such series of the Notes) shall be required and (y) if any such amendment, supplement or waiver by its terms will affect a series of Notes in a manner that is different from and materially adverse relative to the manner in which such amendment, supplement or waiver affects other series of Notes, then the consent of the Holders of at least a majority in principal amount of the Notes of such series then outstanding (including, without limitation, consents obtained in connection with a purchase of, or tender offer or exchange offer for, such series of the Notes) shall be required.</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00"/>
          </w:cols>
          <w:pgMar w:left="440" w:top="270" w:right="459" w:bottom="1440" w:gutter="0" w:footer="0" w:header="0"/>
        </w:sectPr>
      </w:pPr>
    </w:p>
    <w:bookmarkStart w:id="85" w:name="page86"/>
    <w:bookmarkEnd w:id="85"/>
    <w:p>
      <w:pPr>
        <w:ind w:right="500" w:firstLine="987"/>
        <w:spacing w:after="0" w:line="282" w:lineRule="auto"/>
        <w:tabs>
          <w:tab w:leader="none" w:pos="1246"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clause (a) of this Section 8.02, without the consent of each Holder of Notes issued under this Indenture affected thereby, an amendment or waiver may not (with respect to any Note held by a non-consenting Holder):</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Notes issued under this Indenture whose Holders must consent to an amendment, supplement or waiver;</w:t>
      </w:r>
    </w:p>
    <w:p>
      <w:pPr>
        <w:spacing w:after="0" w:line="117"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11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or change the Maturity Date of any Notes, or alter the provisions with respect to the redemption of any such Notes other than, except as set forth in clause (7) of this Section 8.02 and the provisions of Section 4.07 of this Indenture;</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any such Notes;</w:t>
      </w:r>
    </w:p>
    <w:p>
      <w:pPr>
        <w:spacing w:after="0" w:line="117" w:lineRule="exact"/>
        <w:rPr>
          <w:rFonts w:ascii="Times New Roman" w:cs="Times New Roman" w:eastAsia="Times New Roman" w:hAnsi="Times New Roman"/>
          <w:sz w:val="18"/>
          <w:szCs w:val="18"/>
          <w:color w:val="auto"/>
        </w:rPr>
      </w:pPr>
    </w:p>
    <w:p>
      <w:pPr>
        <w:jc w:val="both"/>
        <w:ind w:left="440" w:right="100" w:firstLine="419"/>
        <w:spacing w:after="0" w:line="266" w:lineRule="auto"/>
        <w:tabs>
          <w:tab w:leader="none" w:pos="111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in the payment of principal of or premium, if any, or interest on any such Notes (except a rescission of acceleration of Notes by the Holders of at least a majority in aggregate principal amount of the then outstanding applicable series of Notes and a waiver of the payment default that resulted from such acceleration);</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such Note payable in currency other than that stated in such Note;</w:t>
      </w:r>
    </w:p>
    <w:p>
      <w:pPr>
        <w:spacing w:after="0" w:line="117" w:lineRule="exact"/>
        <w:rPr>
          <w:rFonts w:ascii="Times New Roman" w:cs="Times New Roman" w:eastAsia="Times New Roman" w:hAnsi="Times New Roman"/>
          <w:sz w:val="18"/>
          <w:szCs w:val="18"/>
          <w:color w:val="auto"/>
        </w:rPr>
      </w:pPr>
    </w:p>
    <w:p>
      <w:pPr>
        <w:ind w:left="440" w:right="520" w:firstLine="419"/>
        <w:spacing w:after="0" w:line="282" w:lineRule="auto"/>
        <w:tabs>
          <w:tab w:leader="none" w:pos="111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the provisions of this Indenture relating to waiver of past Defaults or the rights of Holders of the Notes issued hereunder to receive payments of principal of or interest on the Notes;</w:t>
      </w:r>
    </w:p>
    <w:p>
      <w:pPr>
        <w:spacing w:after="0" w:line="53" w:lineRule="exact"/>
        <w:rPr>
          <w:rFonts w:ascii="Times New Roman" w:cs="Times New Roman" w:eastAsia="Times New Roman" w:hAnsi="Times New Roman"/>
          <w:sz w:val="18"/>
          <w:szCs w:val="18"/>
          <w:color w:val="auto"/>
        </w:rPr>
      </w:pPr>
    </w:p>
    <w:p>
      <w:pPr>
        <w:ind w:left="440" w:firstLine="419"/>
        <w:spacing w:after="0" w:line="261" w:lineRule="auto"/>
        <w:tabs>
          <w:tab w:leader="none" w:pos="111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Issuer’s obligation to make an offer to purchase Notes arises hereunder (because, for the avoidance of doubt, a Change of Control has occurred) amend, change or modify in any material respect the obligations of the Issuer to make and consummate a Change of Control Offer with respect to a Change of Control that has occurred, including, without limitation, in each case, by amending, changing or modifying any of the definitions relating thereto;</w:t>
      </w:r>
    </w:p>
    <w:p>
      <w:pPr>
        <w:spacing w:after="0" w:line="71" w:lineRule="exact"/>
        <w:rPr>
          <w:rFonts w:ascii="Times New Roman" w:cs="Times New Roman" w:eastAsia="Times New Roman" w:hAnsi="Times New Roman"/>
          <w:sz w:val="18"/>
          <w:szCs w:val="18"/>
          <w:color w:val="auto"/>
        </w:rPr>
      </w:pPr>
    </w:p>
    <w:p>
      <w:pPr>
        <w:ind w:left="440" w:right="480" w:firstLine="419"/>
        <w:spacing w:after="0" w:line="282" w:lineRule="auto"/>
        <w:tabs>
          <w:tab w:leader="none" w:pos="111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the Issuer or any Guarantor that is a Significant Subsidiary from any of its obligations under its Guarantee or this Indenture otherwise than in accordance with the terms of this Indenture; or</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or change any provision of this Indenture affecting the ranking of the Notes or Guarantees in a manner adverse to the Holders of</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w:t>
      </w:r>
    </w:p>
    <w:p>
      <w:pPr>
        <w:spacing w:after="0" w:line="206" w:lineRule="exact"/>
        <w:rPr>
          <w:rFonts w:ascii="Times New Roman" w:cs="Times New Roman" w:eastAsia="Times New Roman" w:hAnsi="Times New Roman"/>
          <w:sz w:val="18"/>
          <w:szCs w:val="18"/>
          <w:color w:val="auto"/>
        </w:rPr>
      </w:pPr>
    </w:p>
    <w:p>
      <w:pPr>
        <w:ind w:right="740" w:firstLine="987"/>
        <w:spacing w:after="0" w:line="282" w:lineRule="auto"/>
        <w:tabs>
          <w:tab w:leader="none" w:pos="1236"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not be necessary for the consent of the Holders under this Section 8.02 to approve the particular form of any proposed amendment or waiver, but it shall be sufficient if such consent approves the substance thereof.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00"/>
          </w:cols>
          <w:pgMar w:left="440" w:top="270"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8.03. </w:t>
      </w:r>
      <w:r>
        <w:rPr>
          <w:rFonts w:ascii="Times New Roman" w:cs="Times New Roman" w:eastAsia="Times New Roman" w:hAnsi="Times New Roman"/>
          <w:sz w:val="18"/>
          <w:szCs w:val="18"/>
          <w:u w:val="single" w:color="auto"/>
          <w:color w:val="auto"/>
        </w:rPr>
        <w:t>Revocation and Effect of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987"/>
        <w:spacing w:after="0" w:line="266" w:lineRule="auto"/>
        <w:tabs>
          <w:tab w:leader="none" w:pos="123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an amendment, supplement, waiver or other action becomes effective, a consent to it by a Holder of a Note is a continuing consent conclusive and binding upon such Holder and every subsequent Holder of the same Note or portion thereof, and of any Note issued upon the transfer thereof or in exchange therefor or in place thereof, even if notation of the consent is not made on any such Note.</w:t>
      </w:r>
    </w:p>
    <w:p>
      <w:pPr>
        <w:spacing w:after="0" w:line="175"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may, but shall not be obligated to, fix a record date for the purpose of determining the Holders entitled to consent to any amendment, supplement or waiver. If a record date is fixed, then, notwithstanding the preceding paragraph, those Persons who were Noteholders at such record date (or their duly designated proxies), and only such Persons, shall be entitled to consent to such amendment, supplement, or waiver or to revoke any consent previously given, whether or not such Persons continue to be Noteholders after such record date. No such consent shall be valid or effective for more than 90 days after such record date unless the consent of the requisite number of Noteholders has been obtained.</w:t>
      </w:r>
    </w:p>
    <w:p>
      <w:pPr>
        <w:spacing w:after="0" w:line="183" w:lineRule="exact"/>
        <w:rPr>
          <w:rFonts w:ascii="Times New Roman" w:cs="Times New Roman" w:eastAsia="Times New Roman" w:hAnsi="Times New Roman"/>
          <w:sz w:val="18"/>
          <w:szCs w:val="18"/>
          <w:color w:val="auto"/>
        </w:rPr>
      </w:pPr>
    </w:p>
    <w:p>
      <w:pPr>
        <w:ind w:right="140" w:firstLine="987"/>
        <w:spacing w:after="0" w:line="261" w:lineRule="auto"/>
        <w:tabs>
          <w:tab w:leader="none" w:pos="123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an amendment, supplement, waiver or other action under Section 8.01 or Section 8.02 becomes effective, it shall bind every Noteholder, unless it makes a change described in any of clauses (1) through (9) of Section 8.02(b). In that case the amendment, supplement, waiver or other action shall bind each Noteholder who has consented to it and every subsequent Noteholder or portion of a Note that evidences the same debt as the consenting Holder’s Note.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Notation on or Exchange of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If an amendment, supplement, or waiver changes the terms of a Note, the Trustee (in accordance with the specific written direction of the Issuer) shall request the Holder of the Note (in accordance with the specific written direction of the Issuer) to deliver it to the Trustee. In such case, the Trustee shall place an appropriate notation on the Note about the changed terms and return it to the Noteholder. Alternatively, if the Issuer or the Trustee so determines, the Issuer in exchange for the Note shall issue and, upon receipt of a written order of the Issuer in the form of an Officer’s Certificate in accordance with Section 2.01, the Trustee shall authenticate a new Note that reflects the changed terms. Failure to make the appropriate notation or issue a new Note shall not affect the validity and effect of such amendment, supplement or waiver.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Trustee To Sign Amendments, etc.</w:t>
      </w:r>
    </w:p>
    <w:p>
      <w:pPr>
        <w:spacing w:after="0" w:line="225" w:lineRule="exact"/>
        <w:rPr>
          <w:sz w:val="20"/>
          <w:szCs w:val="20"/>
          <w:color w:val="auto"/>
        </w:rPr>
      </w:pPr>
    </w:p>
    <w:p>
      <w:pPr>
        <w:ind w:firstLine="991"/>
        <w:spacing w:after="0" w:line="277" w:lineRule="auto"/>
        <w:rPr>
          <w:sz w:val="20"/>
          <w:szCs w:val="20"/>
          <w:color w:val="auto"/>
        </w:rPr>
      </w:pPr>
      <w:r>
        <w:rPr>
          <w:rFonts w:ascii="Times New Roman" w:cs="Times New Roman" w:eastAsia="Times New Roman" w:hAnsi="Times New Roman"/>
          <w:sz w:val="17"/>
          <w:szCs w:val="17"/>
          <w:color w:val="auto"/>
        </w:rPr>
        <w:t>The Trustee shall sign any amendment or supplement authorized pursuant to this Article Eight if the amendment or supplement does not affect the rights, duties, liabilities or immunities of the Trustee. If it does affect the rights, duties, liabilities or immunities of the Trustee, the Trustee may, but need not, sign such amendment or supplement. Notwithstanding anything herein to the contrary, in signing or refusing to sign an amendment or supplement, the Trustee shall be entitled to receive and, subject to Section 7.01, shall be fully protected in relying upon an Officer’s Certificate and an Opinion of Counsel stating, in addition to the matters required by Section 11.03, that the execution of such amendment or supplement is authorized or</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00"/>
          </w:cols>
          <w:pgMar w:left="440" w:top="270" w:right="459" w:bottom="1440" w:gutter="0" w:footer="0" w:header="0"/>
        </w:sectPr>
      </w:pPr>
    </w:p>
    <w:bookmarkStart w:id="87" w:name="page88"/>
    <w:bookmarkEnd w:id="87"/>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permitted by this Indenture and an Opinion of Counsel stating that such amendment or supplement is a valid and binding obligation of the Issuer and the Guarantors, enforceable against the Issuer and the Guarantors in accordance with its terms (subject to customary exceptions).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NINE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SATISFACTION AND DISCHARGE OF INDENTURE; DEFEASANCE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Satisfaction and Discharge of Indenture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This Indenture will be discharged and will cease to be of further effect as to the Notes of an applicable series and Guarantees, and the Trustee, at the expense of the Issuer, will execute proper instruments acknowledging satisfaction and discharge of this Indenture, such applicable series of Notes and Guarantees, when all amounts due to the Trustee shall have been paid and either:</w:t>
      </w:r>
    </w:p>
    <w:p>
      <w:pPr>
        <w:spacing w:after="0" w:line="68" w:lineRule="exact"/>
        <w:rPr>
          <w:sz w:val="20"/>
          <w:szCs w:val="20"/>
          <w:color w:val="auto"/>
        </w:rPr>
      </w:pPr>
    </w:p>
    <w:p>
      <w:pPr>
        <w:jc w:val="both"/>
        <w:ind w:left="440" w:right="220" w:firstLine="419"/>
        <w:spacing w:after="0" w:line="261" w:lineRule="auto"/>
        <w:tabs>
          <w:tab w:leader="none" w:pos="111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delivers to the Trustee all outstanding Notes of an applicable series issued under this Indenture (other than (i) Notes which have been destroyed, lost or stolen and which have been replaced or paid as provided in Section 2.08 hereof and (ii) Notes for whose payment money has theretofore been deposited in trust or segregated and held in trust by the Issuer and thereafter repaid to the Issuer or discharged from such trust) for cancellation; or</w:t>
      </w:r>
    </w:p>
    <w:p>
      <w:pPr>
        <w:spacing w:after="0" w:line="71" w:lineRule="exact"/>
        <w:rPr>
          <w:rFonts w:ascii="Times New Roman" w:cs="Times New Roman" w:eastAsia="Times New Roman" w:hAnsi="Times New Roman"/>
          <w:sz w:val="18"/>
          <w:szCs w:val="18"/>
          <w:color w:val="auto"/>
        </w:rPr>
      </w:pPr>
    </w:p>
    <w:p>
      <w:pPr>
        <w:ind w:left="440" w:firstLine="419"/>
        <w:spacing w:after="0" w:line="253" w:lineRule="auto"/>
        <w:tabs>
          <w:tab w:leader="none" w:pos="111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all Notes outstanding of an applicable series under this Indenture (i) have become due and payable, whether at maturity or as a result of the mailing or sending of a notice of redemption, or (ii) will become due and payable within one year (including as result of the mailing or sending of a notice of redemption), or are to be called for redemption within one year, under arrangements for the giving of notice of redemption by the Trustee in the name, and at the expense, of the Issuer, and the Issuer or any Guarantor irrevocably deposits with the Trustee as funds in trust solely for the benefit of the Holders, cash in U.S. Dollars, U.S. Government Obligations or a combination thereof in such amounts as will be sufficient to pay the principal of, premium, if any, and interest on such Notes outstanding under this Indenture on the maturity date or on the applicable optional redemption date, as the case may be; (b) such deposit shall not result in a breach or violation of, or constitute a default under, any other material instrument to which the Issuer or any Guarantor is a party or by which the Issuer or any Guarantor is bound; (c) the Issuer or any Guarantor has paid or caused to be paid all sums payable by the Issuer or any Guarantor under this Indenture; and (d) the Issuer have delivered (i) irrevocable instructions to the Trustee under this Indenture to apply the deposited money toward the payment of such Notes at maturity or the redemption date, as the case may be, and (ii) an Officer’s Certificate and an Opinion of Counsel each stating that all conditions precedent herein provided for relating to the satisfaction and discharge of this Indenture have been complied with.</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980"/>
          </w:cols>
          <w:pgMar w:left="440" w:top="270" w:right="4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acknowledge satisfaction and discharge of this Indenture on demand of and at the expense of the Issuer.</w:t>
      </w:r>
    </w:p>
    <w:p>
      <w:pPr>
        <w:spacing w:after="0" w:line="225"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Notwithstanding the satisfaction and discharge of this Indenture, the obligations of the Issuer in Article Two and in Sections 4.02, 7.07, 9.05 and 9.06 shall survive such satisfaction and discharge.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Legal Defeasance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The Issuer may, at its option and at any time, elect to have all of its obligations and the obligations of the Guarantors discharged with respect to any series of outstanding Notes on a date the conditions set forth in Section 9.04 are satisfied (hereinafter, “</w:t>
      </w:r>
      <w:r>
        <w:rPr>
          <w:rFonts w:ascii="Times New Roman" w:cs="Times New Roman" w:eastAsia="Times New Roman" w:hAnsi="Times New Roman"/>
          <w:sz w:val="18"/>
          <w:szCs w:val="18"/>
          <w:u w:val="single" w:color="auto"/>
          <w:color w:val="auto"/>
        </w:rPr>
        <w:t>Legal Defeasance</w:t>
      </w:r>
      <w:r>
        <w:rPr>
          <w:rFonts w:ascii="Times New Roman" w:cs="Times New Roman" w:eastAsia="Times New Roman" w:hAnsi="Times New Roman"/>
          <w:sz w:val="18"/>
          <w:szCs w:val="18"/>
          <w:color w:val="auto"/>
        </w:rPr>
        <w:t>”). For this purpose, such Legal Defeasance means that the Issuer will be deemed to have paid and discharged the entire indebtedness represented by the applicable series of outstanding Notes and to have satisfied all their other obligations under such Notes and this Indenture insofar as such Notes are concerned (and the Trustee, at the expense of the Issuer, shall, subject to Section 9.06, execute instruments in form and substance reasonably satisfactory to the Trustee and the Issuer acknowledging the same), except for the following which shall survive until otherwise terminated or discharged hereunder:</w:t>
      </w:r>
    </w:p>
    <w:p>
      <w:pPr>
        <w:spacing w:after="0" w:line="79" w:lineRule="exact"/>
        <w:rPr>
          <w:sz w:val="20"/>
          <w:szCs w:val="20"/>
          <w:color w:val="auto"/>
        </w:rPr>
      </w:pPr>
    </w:p>
    <w:p>
      <w:pPr>
        <w:ind w:left="440" w:right="240" w:firstLine="419"/>
        <w:spacing w:after="0" w:line="266" w:lineRule="auto"/>
        <w:tabs>
          <w:tab w:leader="none" w:pos="111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the Holders of the applicable series of outstanding Notes to receive solely from the trust described in Section 9.04 and as more fully set forth in Section 9.05, payments in respect of the principal amount of, premium, if any, and interest on such Notes when such payments are due,</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obligations with respect to such series of Notes under Article Two and Section 4.02,</w:t>
      </w:r>
    </w:p>
    <w:p>
      <w:pPr>
        <w:spacing w:after="0" w:line="117" w:lineRule="exact"/>
        <w:rPr>
          <w:rFonts w:ascii="Times New Roman" w:cs="Times New Roman" w:eastAsia="Times New Roman" w:hAnsi="Times New Roman"/>
          <w:sz w:val="18"/>
          <w:szCs w:val="18"/>
          <w:color w:val="auto"/>
        </w:rPr>
      </w:pPr>
    </w:p>
    <w:p>
      <w:pPr>
        <w:ind w:left="440" w:right="360" w:firstLine="419"/>
        <w:spacing w:after="0" w:line="282" w:lineRule="auto"/>
        <w:tabs>
          <w:tab w:leader="none" w:pos="111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and immunities of the Trustee hereunder (including claims of, or payments to, the Trustee under or pursuant to Section 7.07) and the Issuer’s obligations in connection therewith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Article Nine.</w:t>
      </w:r>
    </w:p>
    <w:p>
      <w:pPr>
        <w:spacing w:after="0" w:line="225" w:lineRule="exact"/>
        <w:rPr>
          <w:sz w:val="20"/>
          <w:szCs w:val="20"/>
          <w:color w:val="auto"/>
        </w:rPr>
      </w:pPr>
    </w:p>
    <w:p>
      <w:pPr>
        <w:jc w:val="both"/>
        <w:ind w:right="140" w:firstLine="991"/>
        <w:spacing w:after="0" w:line="261" w:lineRule="auto"/>
        <w:rPr>
          <w:sz w:val="20"/>
          <w:szCs w:val="20"/>
          <w:color w:val="auto"/>
        </w:rPr>
      </w:pPr>
      <w:r>
        <w:rPr>
          <w:rFonts w:ascii="Times New Roman" w:cs="Times New Roman" w:eastAsia="Times New Roman" w:hAnsi="Times New Roman"/>
          <w:sz w:val="18"/>
          <w:szCs w:val="18"/>
          <w:color w:val="auto"/>
        </w:rPr>
        <w:t>Concurrently with any Legal Defeasance, the Issuer may, at its further option, cause to be terminated, as of the date on which such Legal Defeasance occurs, all of the obligations under any or all of the Guarantees, if any, then existing and obtain the release of the Guarantees of any or all Guarantors. In order to exercise such option regarding a Guarantee, the Issuer shall provide the Trustee with written notice of their desire to terminate such Guarantee prior to the delivery of the Opinions of Counsel referred to in Section 9.04.</w:t>
      </w:r>
    </w:p>
    <w:p>
      <w:pPr>
        <w:spacing w:after="0" w:line="180" w:lineRule="exact"/>
        <w:rPr>
          <w:sz w:val="20"/>
          <w:szCs w:val="20"/>
          <w:color w:val="auto"/>
        </w:rPr>
      </w:pPr>
    </w:p>
    <w:p>
      <w:pPr>
        <w:ind w:right="740" w:firstLine="991"/>
        <w:spacing w:after="0" w:line="282" w:lineRule="auto"/>
        <w:rPr>
          <w:sz w:val="20"/>
          <w:szCs w:val="20"/>
          <w:color w:val="auto"/>
        </w:rPr>
      </w:pPr>
      <w:r>
        <w:rPr>
          <w:rFonts w:ascii="Times New Roman" w:cs="Times New Roman" w:eastAsia="Times New Roman" w:hAnsi="Times New Roman"/>
          <w:sz w:val="18"/>
          <w:szCs w:val="18"/>
          <w:color w:val="auto"/>
        </w:rPr>
        <w:t>Subject to compliance with this Article Nine, the Issuer may exercise its option under this Section 9.02 with respect to the Notes notwithstanding the prior exercise of its option under Section 9.03 below with respect to the Notes.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960"/>
          </w:cols>
          <w:pgMar w:left="440" w:top="270" w:right="4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9.03. </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Issuer may, at its option and at any time, elect to have its obligations and the obligations of the Guarantors under Section 4.05, 4.07,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4.08, 4.09, 4.10, 4.12, 4.13 and 4.14, clauses (2) and (3) of the first paragraph of Section 5.01 and clauses (2) and (3) of second first paragraph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5.01 released with respect to any series of outstanding Notes on a date the conditions set forth in Section 9.04 are satisfied (hereinafter,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 For this purpose, Covenant Defeasance means that, with respect to the applicable series of outstanding Notes, the Issuer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fail to comply with and shall have no liability in respect of any term, condition or limitation set forth in any such covenant, whether directly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indirectly, by reason of any reference elsewhere herein to any such covenant or by reason of any reference in any such covenant to any other provision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 or in any other document and such omission to comply shall not constitute a Default or an Event of Default under Section 6.01, but, except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specified above, the remainder of this Indenture, each series of Notes and the Guarantees shall be unaffected thereby. In addition, upon the Issuer’s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exercise of the option in this Section 9.03, subject to the satisfaction of the conditions set forth in Section 9.04, Sections 6.01(3), (4), (5) and (6) shall not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constitute Events of Default.</w:t>
      </w:r>
    </w:p>
    <w:p>
      <w:pPr>
        <w:spacing w:after="0" w:line="207"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Notwithstanding any discharge or release of any obligations under this Indenture pursuant to Section 9.02 or this Section 9.03, the Issuer’s obligations in Article Two and Sections 7.07, 9.05, 9.06, 9.07 and 9.08 shall survive until such time as the Notes have been paid in full. Thereafter, the Issuer’s obligations in Sections 7.07, 9.05, 9.07 and 9.08 shall survive.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Conditions to Defeasance or Covenant Defeasance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shall be the conditions to application of Section 9.02 or Section 9.03 to the applicable series of outstanding Notes:</w:t>
      </w:r>
    </w:p>
    <w:p>
      <w:pPr>
        <w:spacing w:after="0" w:line="117" w:lineRule="exact"/>
        <w:rPr>
          <w:sz w:val="20"/>
          <w:szCs w:val="20"/>
          <w:color w:val="auto"/>
        </w:rPr>
      </w:pPr>
    </w:p>
    <w:p>
      <w:pPr>
        <w:ind w:left="440" w:right="40" w:firstLine="419"/>
        <w:spacing w:after="0" w:line="255" w:lineRule="auto"/>
        <w:tabs>
          <w:tab w:leader="none" w:pos="111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must irrevocably deposit with the Trustee, in trust, for the benefit of the Holders of the applicable series of Notes issued under this Indenture, cash in U.S. Dollars, U.S. Government Obligations or a combination thereof, in such amounts as will be sufficient (with respect to non-callable U.S. government securities or a combination of cash in U.S. dollars and non-callable U.S. government securities in the opinion of a nationally recognized firm of independent public accountants (such opinion shall be delivered to the Trustee and upon which the Trustee shall have no liability in relying)), to pay the principal, premium, if any, and interest on the applicable series of Notes outstanding under this Indenture on the stated maturity or on the applicable optional redemption date, as the case may be, and the Issuer must specify whether such Notes are being defeased to maturity or to a particular redemption date;</w:t>
      </w:r>
    </w:p>
    <w:p>
      <w:pPr>
        <w:spacing w:after="0" w:line="80" w:lineRule="exact"/>
        <w:rPr>
          <w:rFonts w:ascii="Times New Roman" w:cs="Times New Roman" w:eastAsia="Times New Roman" w:hAnsi="Times New Roman"/>
          <w:sz w:val="18"/>
          <w:szCs w:val="18"/>
          <w:color w:val="auto"/>
        </w:rPr>
      </w:pPr>
    </w:p>
    <w:p>
      <w:pPr>
        <w:ind w:left="440" w:right="100" w:firstLine="419"/>
        <w:spacing w:after="0" w:line="261" w:lineRule="auto"/>
        <w:tabs>
          <w:tab w:leader="none" w:pos="111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Legal Defeasance, the Issuer shall have delivered to the Trustee an Opinion of Counsel in the United States (upon which the Trustee shall have no liability in relying) confirming that (a) the Issuer has received from, or (b) there has been published by, the Internal Revenue Service a ruling or since the date of this Indenture, there has been a change in the applicable federal income tax law, in either case to the effect that, and based thereon such Opinion of Counsel shall confirm that, the Holders 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00"/>
          </w:cols>
          <w:pgMar w:left="440" w:top="270" w:right="459" w:bottom="1440" w:gutter="0" w:footer="0" w:header="0"/>
        </w:sectPr>
      </w:pPr>
    </w:p>
    <w:bookmarkStart w:id="90" w:name="page91"/>
    <w:bookmarkEnd w:id="90"/>
    <w:p>
      <w:pPr>
        <w:ind w:left="440"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applicable series of Notes outstanding under this Indenture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68" w:lineRule="exact"/>
        <w:rPr>
          <w:sz w:val="20"/>
          <w:szCs w:val="20"/>
          <w:color w:val="auto"/>
        </w:rPr>
      </w:pPr>
    </w:p>
    <w:p>
      <w:pPr>
        <w:ind w:left="440" w:right="100" w:firstLine="419"/>
        <w:spacing w:after="0" w:line="258" w:lineRule="auto"/>
        <w:tabs>
          <w:tab w:leader="none" w:pos="111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the Issuer shall have delivered to the Trustee an Opinion of Counsel in the United States (upon which the Trustee shall have no liability in relying) confirming that the Holders of the applicable series of Notes outstanding under this Indenture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75"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1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Notes of the applicable series shall have occurred and be continuing on the date of such deposit (other than a Default or Event of Default resulting from the borrowing of funds to be applied to such deposit) or insofar as Events of Default from bankruptcy or insolvency events are concerned, at any time in the period ending on the 91st day after the date of deposit;</w:t>
      </w:r>
    </w:p>
    <w:p>
      <w:pPr>
        <w:spacing w:after="0" w:line="67" w:lineRule="exact"/>
        <w:rPr>
          <w:rFonts w:ascii="Times New Roman" w:cs="Times New Roman" w:eastAsia="Times New Roman" w:hAnsi="Times New Roman"/>
          <w:sz w:val="18"/>
          <w:szCs w:val="18"/>
          <w:color w:val="auto"/>
        </w:rPr>
      </w:pPr>
    </w:p>
    <w:p>
      <w:pPr>
        <w:jc w:val="both"/>
        <w:ind w:left="440" w:right="420" w:firstLine="419"/>
        <w:spacing w:after="0" w:line="266" w:lineRule="auto"/>
        <w:tabs>
          <w:tab w:leader="none" w:pos="111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Legal Defeasance or Covenant Defeasance will not result in a breach or violation of, or constitute a default under any material agreement or instrument (other than this Indenture) to which the Parent Guarantor or any of its Subsidiaries is a party or by which the Parent Guarantor or any of its Subsidiaries is bound;</w:t>
      </w:r>
    </w:p>
    <w:p>
      <w:pPr>
        <w:spacing w:after="0" w:line="67"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11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must deliver to the Trustee an Officer’s Certificate (upon which the Trustee shall have no liability in relying) stating that the deposit was not made by the Issuer with the intent of preferring the Holders of the applicable series of Notes issued under this Indenture over the other creditors of the Issuer with the intent of defeating, hindering, delaying or defrauding creditors of the Issuer or others; and</w:t>
      </w:r>
    </w:p>
    <w:p>
      <w:pPr>
        <w:spacing w:after="0" w:line="67" w:lineRule="exact"/>
        <w:rPr>
          <w:rFonts w:ascii="Times New Roman" w:cs="Times New Roman" w:eastAsia="Times New Roman" w:hAnsi="Times New Roman"/>
          <w:sz w:val="18"/>
          <w:szCs w:val="18"/>
          <w:color w:val="auto"/>
        </w:rPr>
      </w:pPr>
    </w:p>
    <w:p>
      <w:pPr>
        <w:ind w:left="440" w:firstLine="419"/>
        <w:spacing w:after="0" w:line="312" w:lineRule="auto"/>
        <w:tabs>
          <w:tab w:leader="none" w:pos="1118"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must deliver to the Trustee an Officer’s Certificate and an Opinion of Counsel upon which the Trustee shall have the right to rely, each stating that all conditions precedent provided for relating to the Legal Defeasance or the Covenant Defeasance have been complied with.</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Deposited Money and U.S. Government Obligations To Be Held in Trust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Subject to Section 9.08, all money and U.S. Government Obligations (including the proceeds thereof) deposited with the Trustee pursuant to Section 9.04 in respect of the applicable series of outstanding Notes shall be held in trust and applied by the Trustee, in accordance with the provisions of such Notes and this Indenture, to the payment, either directly or through any Paying Agents, to the Holders of such Notes, of all sums due and to become due thereon in respect of principal, premium, if any, and accrued interest, but such money need not be segregated from other funds except to the extent required by law.</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00"/>
          </w:cols>
          <w:pgMar w:left="440" w:top="270" w:right="459" w:bottom="1440" w:gutter="0" w:footer="0" w:header="0"/>
        </w:sectPr>
      </w:pPr>
    </w:p>
    <w:bookmarkStart w:id="91" w:name="page92"/>
    <w:bookmarkEnd w:id="91"/>
    <w:p>
      <w:pPr>
        <w:ind w:right="48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Issuer and the Guarantors shall (on a joint and several basis) pay and indemnify the Trustee against any tax, fee or other charge imposed on or assessed against the U.S. Government Obligations deposited pursuant to Section 9.04 or the principal, premium, if any, and interest received in respect thereof other than any such tax, fee or other charge which by law is for the account of the Holders of the applicable series of outstanding Notes.</w:t>
      </w:r>
    </w:p>
    <w:p>
      <w:pPr>
        <w:spacing w:after="0" w:line="180"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Anything in this Article Nine to the contrary notwithstanding, the Trustee shall deliver or pay to the Issuer from time to time upon a request of the Issuer any money or U.S. Government Obligations held by it as provided in Section 9.04 which, in the opinion of a nationally recognized firm of independent public accountants expressed in a written certification thereof delivered to the Trustee, are in excess of the amount thereof which would then be required to be deposited to effect an equivalent Legal Defeasance or Covenant Defeasance.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If the Trustee or any Paying Agent is unable to apply any money or U.S. Government Obligations in accordance with Section 9.01, 9.02 or 9.03 by reason of any legal proceeding or by reason of any order or judgment of any court or governmental authority enjoining, restraining or otherwise prohibiting such application, the Issuer’s and each Guarantor’s obligations under this Indenture, the applicable series of Notes and the Guarantees shall be revived and reinstated as though no deposit had occurred pursuant to this Article Nine until such time as the Trustee or such Paying Agent is permitted to apply all such money or U.S. Government Obligations in accordance with Section 9.01;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Issuer or the Guarantors have made any payment of principal of, premium, if any, or accrued interest on any Notes of the applicable series because of the reinstatement of their obligations, the Issuer or the Guarantors, as the case may be, shall be subrogated to the rights of the Holders of such Notes to receive such payment from the money or U.S. Government Obligations held by the Trustee or any Paying Agent.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Moneys Held by Paying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In connection with the satisfaction and discharge of this Indenture, all moneys and U.S. Government Obligations then held by any Paying Agent under the provisions of this Indenture shall, upon written demand of the Issuer, be paid or delivered to the Trustee, or if sufficient moneys and U.S. Government Obligations have been deposited pursuant to Section 9.04, to the Issuer upon a request of the Issuer (or, if such moneys and U.S. Government Obligations had been deposited by the Guarantors, to the Parent Guarantors), and thereupon such Paying Agent shall be released from all further liability with respect to such moneys.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Moneys Held by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Any moneys and U.S. Government Obligations deposited with the Trustee or any Paying Agent or then held by the Issuer or the Guarantors in trust for the payment of the principal of, or premium, if any, or interest on any Note that are not applied but remain unclaimed by the Holder of such Note for two years after the date upon which the principal of, or premium, if any, or interest on such Note shall have respectively become due and payable shall be repaid or returned to the Issuer (or, if appropriate, the Guarantors) upon a request of the Issuer, or if such moneys and U.S. Government Obligations are then held by the Issuer or the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00"/>
          </w:cols>
          <w:pgMar w:left="440" w:top="270" w:right="459" w:bottom="1440" w:gutter="0" w:footer="0" w:header="0"/>
        </w:sectPr>
      </w:pPr>
    </w:p>
    <w:bookmarkStart w:id="92" w:name="page93"/>
    <w:bookmarkEnd w:id="9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Guarantors in trust, such moneys and U.S. Government Obligations shall be released from such trust; and the Holder of such Note entitled to receive such payment shall thereafter, as an unsecured general creditor, look only to the Issuer and the Guarantors for the payment thereof, and all liability of the Trustee or such Paying Agent with respect to such trust moneys and U.S. Government Obligations shall thereupon cease;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Trustee or any such Paying Agent, before being required to make any such repayment, may, at the expense of the Issuer and the Guarantors, either mail to each Noteholder affected, at the address shown in the register of the Notes maintained by the Registrar pursuant to Section 2.06, or cause to be published once a week for two successive weeks, in one newspaper published in the English language, customarily published each Business Day and of general circulation in The City of New York, the State of New York, a notice that such moneys and U.S. Government Obligations remains unclaimed and that, after a date specified therein, which shall not be less than 30 days from the date of such mailing or publication, any unclaimed balance of such moneys and U.S. Government Obligations then remaining will be repaid or returned to the Issuer. After payment or return to the Issuer or the Guarantors or the release of any moneys and U.S. Government Obligations held in trust by the Issuer or any Guarantors, as the case may be, Holders entitled thereto must look only to the Issuer and the Guarantors for payment as general creditors unless applicable abandoned property law designates another Person.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TEN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GUARANTEE OF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The Guarantors, by execution of this Indenture, and any other Guarantor, by execution of a supplemental indenture substantially in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jointly and severally, guarantee to each Holder and to the Trustee (i) the due and punctual payment of the principal of, premium, if any, and interest on each Note, when and as the same shall become due and payable, whether at maturity, by acceleration or otherwise, the due and punctual payment of interest on the overdue principal of and interest on the Notes, to the extent lawful, and the due and punctual payment of all other obligations and due and punctual performance of all obligations of the Issuer to the Holders or the Trustee all in accordance with the terms of such Note and this Indenture and (ii) in the case of any extension of time of payment or renewal of any Notes or any of such other obligations, that the same will be promptly paid in full when due or performed in accordance with the terms of the extension or renewal, at stated maturity, by acceleration or otherwise. The Guarantors, by execution of this Indenture, and any other Guarantor, by execution of a supplemental indenture substantially in the form of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agrees that, subject only to the applicable provisions, if any, of Section 10.06, its obligations hereunder shall be absolute and unconditional, irrespective of, and shall be unaffected by, any invalidity, irregularity or unenforceability of any such Note or this Indenture, any failure to enforce the provisions of any such Note or this Indenture, any waiver, modification or indulgence granted to the Issuer with respect thereto by the Holder of such Note, or any other circumstances which may otherwise constitute a legal or equitable discharge of a surety or such Guarantor. Each Guarantor further agrees that its Guarantee herein constitutes a Guarantee of payment when due (and not a Guarantee of collection).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00"/>
          </w:cols>
          <w:pgMar w:left="440" w:top="270" w:right="459" w:bottom="1440" w:gutter="0" w:footer="0" w:header="0"/>
        </w:sectPr>
      </w:pPr>
    </w:p>
    <w:bookmarkStart w:id="93" w:name="page94"/>
    <w:bookmarkEnd w:id="93"/>
    <w:p>
      <w:pPr>
        <w:ind w:left="4" w:right="120" w:firstLine="991"/>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Guarantor hereby waives diligence, presentment, demand for payment, filing of claims with a court in the event of merger or bankruptcy of the Issuer, any right to require a proceeding first against the Issuer, protest or notice with respect to any such Note or the Indebtedness evidenced thereby and all demands whatsoever, and covenants that this Guarantee will not be discharged as to any such Note except by payment in full of the principal thereof and interest thereon. Each Guarantor hereby agrees that, as between such Guarantor, on the one hand, and the Holders and the Trustee, on the other hand, (i) the maturity of the obligations guaranteed hereby may be accelerated as provided in Article Six for the purposes of this Guarantee, notwithstanding any stay, injunction or other prohibition preventing such acceleration in respect of the obligations guaranteed hereby, and</w:t>
      </w:r>
    </w:p>
    <w:p>
      <w:pPr>
        <w:spacing w:after="0" w:line="5" w:lineRule="exact"/>
        <w:rPr>
          <w:sz w:val="20"/>
          <w:szCs w:val="20"/>
          <w:color w:val="auto"/>
        </w:rPr>
      </w:pPr>
    </w:p>
    <w:p>
      <w:pPr>
        <w:ind w:left="4" w:right="60" w:hanging="4"/>
        <w:spacing w:after="0" w:line="260" w:lineRule="auto"/>
        <w:tabs>
          <w:tab w:leader="none" w:pos="26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declaration of acceleration of such obligations as provided in Article Six, such obligations (whether or not due and payable) shall forthwith become due and payable by the Parent Guarantor for the purpose of this Guarantee.</w:t>
      </w:r>
    </w:p>
    <w:p>
      <w:pPr>
        <w:spacing w:after="0" w:line="181" w:lineRule="exact"/>
        <w:rPr>
          <w:sz w:val="20"/>
          <w:szCs w:val="20"/>
          <w:color w:val="auto"/>
        </w:rPr>
      </w:pPr>
    </w:p>
    <w:p>
      <w:pPr>
        <w:ind w:left="4" w:right="380" w:firstLine="991"/>
        <w:spacing w:after="0" w:line="282" w:lineRule="auto"/>
        <w:rPr>
          <w:sz w:val="20"/>
          <w:szCs w:val="20"/>
          <w:color w:val="auto"/>
        </w:rPr>
      </w:pPr>
      <w:r>
        <w:rPr>
          <w:rFonts w:ascii="Times New Roman" w:cs="Times New Roman" w:eastAsia="Times New Roman" w:hAnsi="Times New Roman"/>
          <w:sz w:val="18"/>
          <w:szCs w:val="18"/>
          <w:color w:val="auto"/>
        </w:rPr>
        <w:t>The Guarantors shall have the right to seek contribution from any non-paying Guarantor so long as the exercise of such right does not impair the rights of the Trustee or any Holder under the Guarantees.</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Execution and Delivery of Guarantee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991"/>
        <w:spacing w:after="0" w:line="282" w:lineRule="auto"/>
        <w:rPr>
          <w:sz w:val="20"/>
          <w:szCs w:val="20"/>
          <w:color w:val="auto"/>
        </w:rPr>
      </w:pPr>
      <w:r>
        <w:rPr>
          <w:rFonts w:ascii="Times New Roman" w:cs="Times New Roman" w:eastAsia="Times New Roman" w:hAnsi="Times New Roman"/>
          <w:sz w:val="18"/>
          <w:szCs w:val="18"/>
          <w:color w:val="auto"/>
        </w:rPr>
        <w:t>The delivery of any Note by the Trustee, after the authentication thereof hereunder, shall constitute due delivery of any Guarantee set forth in this Indenture on behalf of the Guarantor.</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u w:val="single" w:color="auto"/>
          <w:color w:val="auto"/>
        </w:rPr>
        <w:t>Release of Guarantors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60" w:firstLine="987"/>
        <w:spacing w:after="0" w:line="282" w:lineRule="auto"/>
        <w:tabs>
          <w:tab w:leader="none" w:pos="124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Guarantee of a Guarantor will be unconditionally and automatically released and discharged upon any of the following (other than, with respect to a Guarantor that is a direct or indirect parent of the Issuer, clauses (1) and (2) below):</w:t>
      </w:r>
    </w:p>
    <w:p>
      <w:pPr>
        <w:spacing w:after="0" w:line="53" w:lineRule="exact"/>
        <w:rPr>
          <w:rFonts w:ascii="Times New Roman" w:cs="Times New Roman" w:eastAsia="Times New Roman" w:hAnsi="Times New Roman"/>
          <w:sz w:val="18"/>
          <w:szCs w:val="18"/>
          <w:color w:val="auto"/>
        </w:rPr>
      </w:pPr>
    </w:p>
    <w:p>
      <w:pPr>
        <w:ind w:left="444" w:firstLine="419"/>
        <w:spacing w:after="0" w:line="266" w:lineRule="auto"/>
        <w:tabs>
          <w:tab w:leader="none" w:pos="1122"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Transfer (including, without limitation, by way of consolidation or merger) by any Guarantor to any Person that is not a Guarantor of all or substantially all of the properties and assets of such Guarantor;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Guarantor is also released from all of its obligations in respect of Indebtedness under each Credit Facility and any other Indebtedness that gave rise to the obligation to provide such Guarantee;</w:t>
      </w:r>
    </w:p>
    <w:p>
      <w:pPr>
        <w:spacing w:after="0" w:line="67" w:lineRule="exact"/>
        <w:rPr>
          <w:rFonts w:ascii="Times New Roman" w:cs="Times New Roman" w:eastAsia="Times New Roman" w:hAnsi="Times New Roman"/>
          <w:sz w:val="18"/>
          <w:szCs w:val="18"/>
          <w:color w:val="auto"/>
        </w:rPr>
      </w:pPr>
    </w:p>
    <w:p>
      <w:pPr>
        <w:ind w:left="444" w:right="100" w:firstLine="419"/>
        <w:spacing w:after="0" w:line="261" w:lineRule="auto"/>
        <w:tabs>
          <w:tab w:leader="none" w:pos="1122"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Transfer directly or indirectly (including, without limitation, by way of consolidation or merger) to any Person that is not a Guarantor of Equity Interests of a Guarantor or any issuance by a Guarantor of its Equity Interests, such that such Guarantor ceases to be a Subsidiary of the Parent Guarantor;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Guarantor is also released from all of its obligations in respect of Indebtedness under each Credit Facility and any other Indebtedness that gave rise to the obligation to provide such Guarantee;</w:t>
      </w:r>
    </w:p>
    <w:p>
      <w:pPr>
        <w:spacing w:after="0" w:line="71" w:lineRule="exact"/>
        <w:rPr>
          <w:rFonts w:ascii="Times New Roman" w:cs="Times New Roman" w:eastAsia="Times New Roman" w:hAnsi="Times New Roman"/>
          <w:sz w:val="18"/>
          <w:szCs w:val="18"/>
          <w:color w:val="auto"/>
        </w:rPr>
      </w:pPr>
    </w:p>
    <w:p>
      <w:pPr>
        <w:ind w:left="444" w:right="100" w:firstLine="419"/>
        <w:spacing w:after="0" w:line="282" w:lineRule="auto"/>
        <w:tabs>
          <w:tab w:leader="none" w:pos="1122"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of such Guarantor from all obligations of such Guarantor in respect of Indebtedness under each Credit Facility and any other Indebtedness that gave rise to the obligation to provide such Guarantee; or</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04"/>
          </w:cols>
          <w:pgMar w:left="436" w:top="270" w:right="459" w:bottom="1440" w:gutter="0" w:footer="0" w:header="0"/>
        </w:sectPr>
      </w:pPr>
    </w:p>
    <w:bookmarkStart w:id="94" w:name="page95"/>
    <w:bookmarkEnd w:id="94"/>
    <w:p>
      <w:pPr>
        <w:ind w:left="1120" w:hanging="261"/>
        <w:spacing w:after="0"/>
        <w:tabs>
          <w:tab w:leader="none" w:pos="11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legal defeasance, covenant defeasance or satisfaction and discharge of this Indenture in accordance with Article Nine.</w:t>
      </w:r>
    </w:p>
    <w:p>
      <w:pPr>
        <w:spacing w:after="0" w:line="117" w:lineRule="exact"/>
        <w:rPr>
          <w:rFonts w:ascii="Times New Roman" w:cs="Times New Roman" w:eastAsia="Times New Roman" w:hAnsi="Times New Roman"/>
          <w:sz w:val="18"/>
          <w:szCs w:val="18"/>
          <w:color w:val="auto"/>
        </w:rPr>
      </w:pPr>
    </w:p>
    <w:p>
      <w:pPr>
        <w:ind w:right="40" w:firstLine="987"/>
        <w:spacing w:after="0" w:line="254" w:lineRule="auto"/>
        <w:tabs>
          <w:tab w:leader="none" w:pos="1246"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release and discharge of a Guarantee of a Guarantor shall be effective against the Trustee or the Holders of the applicable series of Notes to which such Guarantee relates (i) if an Event of Default shall have occurred and be continuing under this Indenture as of the time of such proposed release until such time as such Event of Default is cured or waived (unless such release is in connection with the sale of the Equity Interests in such Guarantor constituting collateral for a Credit Facility in connection with the exercise of remedies against such Equity Interests or in connection with a Transfer permitted by this Indenture if, but for the existence of such Event of Default, such Guarantor would otherwise be entitled to be released from its Guarantee following the sale of such Equity Interests) and (ii) until the Issuer shall have delivered to the Trustee an Officer’s Certificate, upon which the Trustee shall have the right to rely, stating that all conditions precedent provided for in this Indenture relating to such release and discharge have been complied with and that such release and discharge is permitted under this Indenture.</w:t>
      </w:r>
    </w:p>
    <w:p>
      <w:pPr>
        <w:spacing w:after="0" w:line="191" w:lineRule="exact"/>
        <w:rPr>
          <w:rFonts w:ascii="Times New Roman" w:cs="Times New Roman" w:eastAsia="Times New Roman" w:hAnsi="Times New Roman"/>
          <w:sz w:val="18"/>
          <w:szCs w:val="18"/>
          <w:color w:val="auto"/>
        </w:rPr>
      </w:pPr>
    </w:p>
    <w:p>
      <w:pPr>
        <w:ind w:right="200" w:firstLine="987"/>
        <w:spacing w:after="0" w:line="255" w:lineRule="auto"/>
        <w:tabs>
          <w:tab w:leader="none" w:pos="1236"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Guarantee of any Guarantor is deemed to be released or is automatically released, the Issuer shall deliver to the Trustee an Officer’s Certificate stating the identity of the released Guarantor, the basis for release in reasonable detail, and that such release complies with this Indenture. At the request and cost of the Issuer, and upon delivery to the Trustee of an Officer’s Certificate that a Guarantor has been released and that execution by the Trustee of documents reasonably requested by the Issuer or such Guarantor evidencing the release of the Parent Guarantor from its Guarantee complies with this Indenture, the Trustee shall execute any documents reasonably requested by either the Issuer or a Guarantor in order to evidence the release of the Parent Guarantor from its obligations under its Guarantee endorsed on the Notes and under this Article Ten (it being understood that the failure to obtain any such instrument shall not impair any automatic release pursuant to this Section 10.03).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u w:val="single" w:color="auto"/>
          <w:color w:val="auto"/>
        </w:rPr>
        <w:t>Waiver of Subrogation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Each Guarantor hereby irrevocably waives any claim or other rights which it may now or hereafter acquire against the Issuer that arise from the existence, payment, performance or enforcement of such Guarantor’s obligations under its Guarantee and this Indenture, including, without limitation, any right of subrogation, reimbursement, exoneration, indemnification, and any right to participate in any claim or remedy of any Holder of Notes against the Issuer, whether or not such claim, remedy or right arises in equity, or under contract, statute or common law, including, without limitation, the right to take or receive from the Issuer, directly or indirectly, in cash or other property or by set-off or in any other manner, payment or Note on account of such claim or other rights. If any amount shall be paid to any Guarantor in violation of the preceding sentence and Notes of the applicable series shall not have been paid in full, such amount shall have been deemed to have been paid to such Guarantor for the benefit of, and held in trust for the benefit of, the Holders of such Notes, and shall forthwith be paid to the Trustee for the benefit of such Holders to be credited and applied upon the Notes, whether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00"/>
          </w:cols>
          <w:pgMar w:left="440" w:top="270" w:right="459" w:bottom="1440" w:gutter="0" w:footer="0" w:header="0"/>
        </w:sectPr>
      </w:pPr>
    </w:p>
    <w:bookmarkStart w:id="95" w:name="page96"/>
    <w:bookmarkEnd w:id="95"/>
    <w:p>
      <w:pPr>
        <w:ind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matured or unmatured, in accordance with the terms of this Indenture. Each acknowledges that it will receive direct and indirect benefits from the financing arrangements contemplated by this Indenture and that the waiver set forth in this Section 10.04 is knowingly made in contemplation of such benefits.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u w:val="single" w:color="auto"/>
          <w:color w:val="auto"/>
        </w:rPr>
        <w:t>Notice to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The Issuer or any Guarantor shall give prompt written notice to the Trustee of any fact known to such Issuer or any such Guarantor which would prohibit the making of any payment to or by the Trustee at its Corporate Trust Office in respect of the Guarantees. Notwithstanding the provisions of this Article Ten or any other provision of this Indenture, the Trustee shall not be charged with knowledge of the existence of any facts which would prohibit the making of any payment to or by the Trustee in respect of the Guarantees, unless and until a Responsible Officer of the Trustee shall have received written notice thereof from the Issuer no later than three Business Days prior to such payment; and, prior to the receipt of any such written notice, the Trustee, subject to the provisions of this Section 10.05, and subject to the provisions of Sections 7.01 and 7.02, shall be entitled in all respects to assume that no such facts exist;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Trustee shall not have received the notice referred to in this Section 10.05 at least three Business Days prior to the date upon which by the terms hereof any such payment may become payable for any purpose under this Indenture (including, without limitation, the payment of the principal of, premium, if any, or interest on any Note), then, anything herein contained to the contrary notwithstanding, the Trustee shall have full power and authority to receive such money and to apply the same to the purpose for which such money was received and shall not be affected by any notice to the contrary which may be received by it less than three Business Days prior to such date.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u w:val="single" w:color="auto"/>
          <w:color w:val="auto"/>
        </w:rPr>
        <w:t>Limitation on Guarantor’s Liability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Each Guarantor, and by its acceptance hereof, each Holder and the Trustee, hereby confirm that it is the intention of all such parties that the Guarantee of a Guarantor does not constitute a fraudulent transfer or conveyance for purposes of Title 11 of the United States Code, as amended, the Uniform Fraudulent Conveyance Act, the Uniform Fraudulent Transfer Act or any similar U.S. Federal or state or other applicable law. To effectuate the foregoing intention, each Holder and each Guarantor hereby irrevocably agree that the obligations of a Guarantor under its Guarantee shall be limited to the maximum amount as will, after giving effect to all other contingent and fixed liabilities of such Guarantor result in the obligations of such Guarantor not constituting such a fraudulent transfer or conveyance.</w:t>
      </w:r>
    </w:p>
    <w:p>
      <w:pPr>
        <w:spacing w:after="0" w:line="18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ARTICLE ELEVEN</w:t>
      </w:r>
    </w:p>
    <w:p>
      <w:pPr>
        <w:spacing w:after="0" w:line="11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Except for notice or communications to Holders, any notice or communication shall be given in writing and delivered in person or mailed by first class mail (registered or certified, return receipt requested), telex, telecopier or overnight air courier guaranteeing next day delivery, addressed as follows: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00"/>
          </w:cols>
          <w:pgMar w:left="440" w:top="270" w:right="459" w:bottom="1440" w:gutter="0" w:footer="0" w:header="0"/>
        </w:sectPr>
      </w:pPr>
    </w:p>
    <w:bookmarkStart w:id="96" w:name="page97"/>
    <w:bookmarkEnd w:id="9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the Issuer or any Guarantor:</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WESCO Distribution, Inc.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225 West Station Square Drive, Suite 700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Pittsburgh, Pennsylvania 15219-1122</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Facsimile: (412) 222-7566</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225 West Station Square Drive, Suite 700</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Pittsburgh, Pennsylvania 15219-1122</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Facsimile: (412) 222-7304</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the Trustee:</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225 W. Station Square Drive, Suite 380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Pittsburgh, PA 15219</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Corporate Trust Services</w:t>
      </w:r>
    </w:p>
    <w:p>
      <w:pPr>
        <w:spacing w:after="0" w:line="207"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The Issuer, the Guarantors or the Trustee by written notice to the others may designate additional or different addresses for subsequent notices or communications.</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All notices and communications (other than those sent to Holders) shall be deemed to have been duly given at the time delivered by hand, if personally delivered; five (5) calendar days after mailing if sent by registered or certified mail, postage prepaid (except that a notice of change of address shall not be deemed to have been given until actually received by the addressee); when answered back, if telexed; when receipt acknowledged, if telecopied; and the next Business Day after timely delivery to the courier, if sent by overnight air courier guaranteeing next day delivery.</w:t>
      </w:r>
    </w:p>
    <w:p>
      <w:pPr>
        <w:spacing w:after="0" w:line="180"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The Trustee shall accept and act upon instructions, directions, reports, notices and other communications or information pursuant to this Indenture sent by unsecured electronic transmissions (including email and .pdf attachments);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Trustee shall not have any duty or obligation to verify or confirm that the Person sending instructions, directions, reports, notices or other communications or information by electronic transmission is, in fact, a Person authorized to give such instructions, directions, reports, notices or other communications or information on behalf of the party purporting to send such electronic transmission; and the Trustee shall not have any liability for any losses, liabilities, costs or expenses incurred or sustained by any party as a result of such reliance upon or compliance with such instructions, directions, reports, notices or other communications or information and (ii) each other party agrees to assume all risks arising out of the use of electronic methods to submit instructions,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20"/>
          </w:cols>
          <w:pgMar w:left="440" w:top="270" w:right="439" w:bottom="1440" w:gutter="0" w:footer="0" w:header="0"/>
        </w:sectPr>
      </w:pPr>
    </w:p>
    <w:bookmarkStart w:id="97" w:name="page98"/>
    <w:bookmarkEnd w:id="97"/>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directions, reports, notices or other communications or information to the Trustee and the use of digital signatures, including the risk of the Trustee acting on unauthorized instructions, notices, reports or other communications or information, and the risk of interception and misuse by third parties. All notices, approvals, consents, requests and any communications hereunder must be in writing (provided that any communication sent to the Trustee hereunder must be in the form of a document that is signed manually or by way of a digital signature provided by DocuSign (or such other digital signature provider as specified in writing to the Trustee by an authorized representative), in English.</w:t>
      </w:r>
    </w:p>
    <w:p>
      <w:pPr>
        <w:spacing w:after="0" w:line="183"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Any notice or communication to a Holder shall be mailed by first class mail, certified or registered, return receipt requested, or by overnight air courier guaranteeing next day delivery to its address shown on the register kept by the Registrar. Failure to mail a notice or communication to a Holder or any defect in it shall not affect its sufficiency with respect to other Holders. Where this Indenture or any Note provides for notice of any event (including any notice of redemption or repurchase) to a Holder of a Global Note (whether by mail or otherwise), such notice shall be sufficiently given if given to the Depositary (or its designee) pursuant to the standing instructions from the Depositary or its designee, including by electronic mail in accordance with applicable Depositary procedures.</w:t>
      </w:r>
    </w:p>
    <w:p>
      <w:pPr>
        <w:spacing w:after="0" w:line="187"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color w:val="auto"/>
        </w:rPr>
        <w:t>If a notice or communication to a Holder is mailed in the manner provided above, it shall be deemed duly given, whether or not the addressee receives it.</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In case by reason of the suspension of regular mail service, or by reason of any other cause, it shall be impossible to mail any notice as required by this Indenture, then such method of notification as shall be made with the approval of the Trustee shall constitute a sufficient mailing of such notice.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Notwithstanding anything herein to the contrary, any notice to the Trustee shall be deemed given when actually received.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11.02.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u w:val="single" w:color="auto"/>
          <w:color w:val="auto"/>
        </w:rPr>
        <w:t>Certificate and Opinion as to Conditions Precedent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Upon any request or application by the Issuer or any Guarantor to the Trustee to take any action under this Indenture, such Issuer or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Guarantor shall furnish to the Trustee:</w:t>
      </w:r>
    </w:p>
    <w:p>
      <w:pPr>
        <w:spacing w:after="0" w:line="99" w:lineRule="exact"/>
        <w:rPr>
          <w:sz w:val="20"/>
          <w:szCs w:val="20"/>
          <w:color w:val="auto"/>
        </w:rPr>
      </w:pPr>
    </w:p>
    <w:p>
      <w:pPr>
        <w:ind w:left="440" w:right="40" w:firstLine="419"/>
        <w:spacing w:after="0" w:line="282" w:lineRule="auto"/>
        <w:tabs>
          <w:tab w:leader="none" w:pos="111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(which shall include the statements set forth in Section 11.04 below) stating that, in the opinion of the signers, all conditions precedent and covenants, if any, provided for in this Indenture relating to the proposed action have been complied with; and</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1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(which shall include the statements set forth in Section 11.04 below) stating that, in the opinion of such counsel, all such conditions precedent and covenants have been complied with.</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00"/>
          </w:cols>
          <w:pgMar w:left="440" w:top="270"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11.04. </w:t>
      </w:r>
      <w:r>
        <w:rPr>
          <w:rFonts w:ascii="Times New Roman" w:cs="Times New Roman" w:eastAsia="Times New Roman" w:hAnsi="Times New Roman"/>
          <w:sz w:val="18"/>
          <w:szCs w:val="18"/>
          <w:u w:val="single" w:color="auto"/>
          <w:color w:val="auto"/>
        </w:rPr>
        <w:t>Statements Required in Certificate and Opinion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color w:val="auto"/>
        </w:rPr>
        <w:t>Each certificate and opinion with respect to compliance by or on behalf of the Issuer or any Guarantor with a condition or covenant provided for in this Indenture shall include:</w:t>
      </w:r>
    </w:p>
    <w:p>
      <w:pPr>
        <w:spacing w:after="0" w:line="54" w:lineRule="exact"/>
        <w:rPr>
          <w:sz w:val="20"/>
          <w:szCs w:val="20"/>
          <w:color w:val="auto"/>
        </w:rPr>
      </w:pPr>
    </w:p>
    <w:p>
      <w:pPr>
        <w:ind w:left="1120" w:hanging="261"/>
        <w:spacing w:after="0"/>
        <w:tabs>
          <w:tab w:leader="none" w:pos="11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Person making such certificate or opinion has read such covenant or condition;</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1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w:t>
      </w:r>
    </w:p>
    <w:p>
      <w:pPr>
        <w:spacing w:after="0" w:line="53"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1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such Person, it or he has made such examination or investigation as is necessary to enable it or him to express an informed opinion as to whether or not such covenant or condition has been complied with;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or not, in the opinion of such Person, such covenant or condition has been complied 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11.05. </w:t>
      </w:r>
      <w:r>
        <w:rPr>
          <w:rFonts w:ascii="Times New Roman" w:cs="Times New Roman" w:eastAsia="Times New Roman" w:hAnsi="Times New Roman"/>
          <w:sz w:val="18"/>
          <w:szCs w:val="18"/>
          <w:u w:val="single" w:color="auto"/>
          <w:color w:val="auto"/>
        </w:rPr>
        <w:t>Rules by Trustee and Agents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The Trustee may make reasonable rules for action by or meetings of Noteholders. The Registrar and Paying Agent may make reasonable rules for their functions.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11.06. </w:t>
      </w:r>
      <w:r>
        <w:rPr>
          <w:rFonts w:ascii="Times New Roman" w:cs="Times New Roman" w:eastAsia="Times New Roman" w:hAnsi="Times New Roman"/>
          <w:sz w:val="18"/>
          <w:szCs w:val="18"/>
          <w:u w:val="single" w:color="auto"/>
          <w:color w:val="auto"/>
        </w:rPr>
        <w:t>Business Days; Legal Holidays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89"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is a day that is not a Legal Holiday. A “</w:t>
      </w:r>
      <w:r>
        <w:rPr>
          <w:rFonts w:ascii="Times New Roman" w:cs="Times New Roman" w:eastAsia="Times New Roman" w:hAnsi="Times New Roman"/>
          <w:sz w:val="17"/>
          <w:szCs w:val="17"/>
          <w:u w:val="single" w:color="auto"/>
          <w:color w:val="auto"/>
        </w:rPr>
        <w:t>Legal Holiday</w:t>
      </w:r>
      <w:r>
        <w:rPr>
          <w:rFonts w:ascii="Times New Roman" w:cs="Times New Roman" w:eastAsia="Times New Roman" w:hAnsi="Times New Roman"/>
          <w:sz w:val="17"/>
          <w:szCs w:val="17"/>
          <w:color w:val="auto"/>
        </w:rPr>
        <w:t>” is a Saturday, a Sunday or other day on which commercial banks in The City of New York, the State of New York are authorized or required by law to close. If a payment date is a Legal Holiday at a place of payment, payment may be made at that place on the next succeeding day that is not a Legal Holiday, and no interest shall accrue for the intervening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11.07.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This Indenture, each series of Notes and the Guarantees shall be governed by, and construed in accordance with the laws of the State of New York, but without giving effect to applicable principles of conflicts of law to the extent that the application of the law of another jurisdiction would be required thereby.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11.08. </w:t>
      </w:r>
      <w:r>
        <w:rPr>
          <w:rFonts w:ascii="Times New Roman" w:cs="Times New Roman" w:eastAsia="Times New Roman" w:hAnsi="Times New Roman"/>
          <w:sz w:val="18"/>
          <w:szCs w:val="18"/>
          <w:u w:val="single" w:color="auto"/>
          <w:color w:val="auto"/>
        </w:rPr>
        <w:t>No Adverse Interpretation of Other 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This Indenture may not be used to interpret another indenture, loan, security or debt agreement of the Parent Guarantor or any Subsidiary thereof. No such indenture, loan, security or debt agreement may be used to interpret this Indenture.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00"/>
          </w:cols>
          <w:pgMar w:left="440" w:top="270" w:right="4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11.09.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All agreements of the Issuer and the Guarantors in this Indenture and the Notes shall bind their respective successors. All agreements of the Trustee, any additional trustee and any Agents in this Indenture shall bind its successor.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11.10. </w:t>
      </w:r>
      <w:r>
        <w:rPr>
          <w:rFonts w:ascii="Times New Roman" w:cs="Times New Roman" w:eastAsia="Times New Roman" w:hAnsi="Times New Roman"/>
          <w:sz w:val="18"/>
          <w:szCs w:val="18"/>
          <w:u w:val="single" w:color="auto"/>
          <w:color w:val="auto"/>
        </w:rPr>
        <w:t>Multiple Counterparts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91"/>
        <w:spacing w:after="0" w:line="261" w:lineRule="auto"/>
        <w:rPr>
          <w:sz w:val="20"/>
          <w:szCs w:val="20"/>
          <w:color w:val="auto"/>
        </w:rPr>
      </w:pPr>
      <w:r>
        <w:rPr>
          <w:rFonts w:ascii="Times New Roman" w:cs="Times New Roman" w:eastAsia="Times New Roman" w:hAnsi="Times New Roman"/>
          <w:sz w:val="18"/>
          <w:szCs w:val="18"/>
          <w:color w:val="auto"/>
        </w:rPr>
        <w:t>The parties may sign multiple counterparts of this Indenture. Each signed counterpart shall be deemed an original, but all of them together represent one and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11.11. </w:t>
      </w:r>
      <w:r>
        <w:rPr>
          <w:rFonts w:ascii="Times New Roman" w:cs="Times New Roman" w:eastAsia="Times New Roman" w:hAnsi="Times New Roman"/>
          <w:sz w:val="18"/>
          <w:szCs w:val="18"/>
          <w:u w:val="single" w:color="auto"/>
          <w:color w:val="auto"/>
        </w:rPr>
        <w:t>Table of Contents, Headings, etc.</w:t>
      </w:r>
    </w:p>
    <w:p>
      <w:pPr>
        <w:spacing w:after="0" w:line="225"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The table of contents, cross-reference sheet and headings of the Articles and Sections of this Indenture have been inserted for convenience of reference only, are not to be considered a part hereof, and shall in no way modify or restrict any of the terms or provisions 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11.12. </w:t>
      </w:r>
      <w:r>
        <w:rPr>
          <w:rFonts w:ascii="Times New Roman" w:cs="Times New Roman" w:eastAsia="Times New Roman" w:hAnsi="Times New Roman"/>
          <w:sz w:val="18"/>
          <w:szCs w:val="18"/>
          <w:u w:val="single" w:color="auto"/>
          <w:color w:val="auto"/>
        </w:rPr>
        <w:t>Separability.</w:t>
      </w:r>
    </w:p>
    <w:p>
      <w:pPr>
        <w:spacing w:after="0" w:line="225"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Each provision of this Indenture shall be considered separable and if for any reason any provision which is not essential to the effectuation of the basic purpose of this Indenture or the Notes shall be invalid, illegal or unenforceable, the validity, legality and enforceability of the remaining provisions shall not in any way be affected or impaired thereby.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11.13.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THE ISSUER, THE GUARANTORS AND THE TRUSTEE, AND EACH HOLDER OF A NOTE BY ITS ACCEPTANCE THEREOF, IRREVOCABLY WAIVES, TO THE FULLEST EXTENT PERMITTED BY APPLICABLE LAW, ANY AND ALL RIGHTS TO TRIAL BY JURY IN ANY LEGAL PROCEEDING ARISING OUT OF OR RELATING TO THIS INDENTURE, THE NOTES, THE GUARANTEES OR ANY TRANSACTION CONTEMPLATED HEREBY.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11.14.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00"/>
          </w:cols>
          <w:pgMar w:left="440" w:top="270"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11.15.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The Issuer and the Guarantors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0980"/>
          </w:cols>
          <w:pgMar w:left="440" w:top="270" w:right="47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Indenture to be duly executed all as of the date and year first written above.</w:t>
      </w:r>
    </w:p>
    <w:p>
      <w:pPr>
        <w:spacing w:after="0" w:line="2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WESCO DISTRIBUTION, INC.,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Issuer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Brian M. Begg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Brian M. Begg</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Senior Vice President &amp; Treasurer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WESCO INTERNATIONAL, INC.,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Parent Guarantor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Brian M. Begg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Brian M. Begg</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Senior Vice President and Treasurer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ANIXTER, INC.,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Subsidiary Guarantor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Brian M. Begg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Brian M. Begg</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Treasurer</w:t>
      </w:r>
    </w:p>
    <w:p>
      <w:pPr>
        <w:sectPr>
          <w:pgSz w:w="11900" w:h="16838" w:orient="portrait"/>
          <w:cols w:equalWidth="0" w:num="1">
            <w:col w:w="9460"/>
          </w:cols>
          <w:pgMar w:left="1420" w:top="270" w:right="1019" w:bottom="1440" w:gutter="0" w:footer="0" w:header="0"/>
        </w:sectPr>
      </w:pPr>
    </w:p>
    <w:bookmarkStart w:id="102" w:name="page103"/>
    <w:bookmarkEnd w:id="102"/>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BANK TRUST COMPANY, NATIONAL</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ASSOCIATION, as Trustee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P. Pavlovic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Robert P. Pavlovic</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9019"/>
          </w:cols>
          <w:pgMar w:left="1440" w:top="270" w:right="1440"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07"/>
        </w:trPr>
        <w:tc>
          <w:tcPr>
            <w:tcW w:w="2340" w:type="dxa"/>
            <w:vAlign w:val="bottom"/>
          </w:tcPr>
          <w:p>
            <w:pPr>
              <w:spacing w:after="0"/>
              <w:rPr>
                <w:sz w:val="17"/>
                <w:szCs w:val="17"/>
                <w:color w:val="auto"/>
              </w:rPr>
            </w:pPr>
          </w:p>
        </w:tc>
        <w:tc>
          <w:tcPr>
            <w:tcW w:w="762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EXHIBIT A-1</w:t>
            </w:r>
          </w:p>
        </w:tc>
      </w:tr>
      <w:tr>
        <w:trPr>
          <w:trHeight w:val="453"/>
        </w:trPr>
        <w:tc>
          <w:tcPr>
            <w:tcW w:w="2340" w:type="dxa"/>
            <w:vAlign w:val="bottom"/>
          </w:tcPr>
          <w:p>
            <w:pPr>
              <w:spacing w:after="0"/>
              <w:rPr>
                <w:sz w:val="24"/>
                <w:szCs w:val="24"/>
                <w:color w:val="auto"/>
              </w:rPr>
            </w:pPr>
          </w:p>
        </w:tc>
        <w:tc>
          <w:tcPr>
            <w:tcW w:w="8680" w:type="dxa"/>
            <w:vAlign w:val="bottom"/>
            <w:gridSpan w:val="2"/>
          </w:tcPr>
          <w:p>
            <w:pPr>
              <w:jc w:val="center"/>
              <w:ind w:right="2250"/>
              <w:spacing w:after="0"/>
              <w:rPr>
                <w:sz w:val="20"/>
                <w:szCs w:val="20"/>
                <w:color w:val="auto"/>
              </w:rPr>
            </w:pPr>
            <w:r>
              <w:rPr>
                <w:rFonts w:ascii="Times New Roman" w:cs="Times New Roman" w:eastAsia="Times New Roman" w:hAnsi="Times New Roman"/>
                <w:sz w:val="18"/>
                <w:szCs w:val="18"/>
                <w:color w:val="auto"/>
                <w:w w:val="99"/>
              </w:rPr>
              <w:t>[FORM OF SENIOR NOTE DUE 2029]</w:t>
            </w:r>
          </w:p>
        </w:tc>
      </w:tr>
      <w:tr>
        <w:trPr>
          <w:trHeight w:val="324"/>
        </w:trPr>
        <w:tc>
          <w:tcPr>
            <w:tcW w:w="2340" w:type="dxa"/>
            <w:vAlign w:val="bottom"/>
          </w:tcPr>
          <w:p>
            <w:pPr>
              <w:spacing w:after="0"/>
              <w:rPr>
                <w:sz w:val="24"/>
                <w:szCs w:val="24"/>
                <w:color w:val="auto"/>
              </w:rPr>
            </w:pPr>
          </w:p>
        </w:tc>
        <w:tc>
          <w:tcPr>
            <w:tcW w:w="8680" w:type="dxa"/>
            <w:vAlign w:val="bottom"/>
            <w:gridSpan w:val="2"/>
          </w:tcPr>
          <w:p>
            <w:pPr>
              <w:jc w:val="center"/>
              <w:ind w:right="2270"/>
              <w:spacing w:after="0"/>
              <w:rPr>
                <w:sz w:val="20"/>
                <w:szCs w:val="20"/>
                <w:color w:val="auto"/>
              </w:rPr>
            </w:pPr>
            <w:r>
              <w:rPr>
                <w:rFonts w:ascii="Times New Roman" w:cs="Times New Roman" w:eastAsia="Times New Roman" w:hAnsi="Times New Roman"/>
                <w:sz w:val="18"/>
                <w:szCs w:val="18"/>
                <w:b w:val="1"/>
                <w:bCs w:val="1"/>
                <w:color w:val="auto"/>
              </w:rPr>
              <w:t>WESCO DISTRIBUTION, INC.</w:t>
            </w:r>
          </w:p>
        </w:tc>
      </w:tr>
      <w:tr>
        <w:trPr>
          <w:trHeight w:val="324"/>
        </w:trPr>
        <w:tc>
          <w:tcPr>
            <w:tcW w:w="2340" w:type="dxa"/>
            <w:vAlign w:val="bottom"/>
          </w:tcPr>
          <w:p>
            <w:pPr>
              <w:spacing w:after="0"/>
              <w:rPr>
                <w:sz w:val="24"/>
                <w:szCs w:val="24"/>
                <w:color w:val="auto"/>
              </w:rPr>
            </w:pPr>
          </w:p>
        </w:tc>
        <w:tc>
          <w:tcPr>
            <w:tcW w:w="8680" w:type="dxa"/>
            <w:vAlign w:val="bottom"/>
            <w:gridSpan w:val="2"/>
          </w:tcPr>
          <w:p>
            <w:pPr>
              <w:jc w:val="center"/>
              <w:ind w:right="2270"/>
              <w:spacing w:after="0"/>
              <w:rPr>
                <w:sz w:val="20"/>
                <w:szCs w:val="20"/>
                <w:color w:val="auto"/>
              </w:rPr>
            </w:pPr>
            <w:r>
              <w:rPr>
                <w:rFonts w:ascii="Times New Roman" w:cs="Times New Roman" w:eastAsia="Times New Roman" w:hAnsi="Times New Roman"/>
                <w:sz w:val="18"/>
                <w:szCs w:val="18"/>
                <w:color w:val="auto"/>
              </w:rPr>
              <w:t>6.375% SENIOR NOTE DUE 2029</w:t>
            </w:r>
          </w:p>
        </w:tc>
      </w:tr>
      <w:tr>
        <w:trPr>
          <w:trHeight w:val="324"/>
        </w:trPr>
        <w:tc>
          <w:tcPr>
            <w:tcW w:w="2340" w:type="dxa"/>
            <w:vAlign w:val="bottom"/>
          </w:tcPr>
          <w:p>
            <w:pPr>
              <w:spacing w:after="0"/>
              <w:rPr>
                <w:sz w:val="24"/>
                <w:szCs w:val="24"/>
                <w:color w:val="auto"/>
              </w:rPr>
            </w:pPr>
          </w:p>
        </w:tc>
        <w:tc>
          <w:tcPr>
            <w:tcW w:w="8680" w:type="dxa"/>
            <w:vAlign w:val="bottom"/>
            <w:gridSpan w:val="2"/>
          </w:tcPr>
          <w:p>
            <w:pPr>
              <w:jc w:val="center"/>
              <w:ind w:right="225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b w:val="1"/>
                <w:bCs w:val="1"/>
                <w:i w:val="1"/>
                <w:iCs w:val="1"/>
                <w:color w:val="auto"/>
                <w:w w:val="99"/>
              </w:rPr>
              <w:t>Insert Global Note Legend</w:t>
            </w:r>
            <w:r>
              <w:rPr>
                <w:rFonts w:ascii="Times New Roman" w:cs="Times New Roman" w:eastAsia="Times New Roman" w:hAnsi="Times New Roman"/>
                <w:sz w:val="18"/>
                <w:szCs w:val="18"/>
                <w:b w:val="1"/>
                <w:bCs w:val="1"/>
                <w:color w:val="auto"/>
                <w:w w:val="99"/>
              </w:rPr>
              <w:t xml:space="preserve">, </w:t>
            </w:r>
            <w:r>
              <w:rPr>
                <w:rFonts w:ascii="Times New Roman" w:cs="Times New Roman" w:eastAsia="Times New Roman" w:hAnsi="Times New Roman"/>
                <w:sz w:val="18"/>
                <w:szCs w:val="18"/>
                <w:b w:val="1"/>
                <w:bCs w:val="1"/>
                <w:i w:val="1"/>
                <w:iCs w:val="1"/>
                <w:color w:val="auto"/>
                <w:w w:val="99"/>
              </w:rPr>
              <w:t>if applicable</w:t>
            </w:r>
            <w:r>
              <w:rPr>
                <w:rFonts w:ascii="Times New Roman" w:cs="Times New Roman" w:eastAsia="Times New Roman" w:hAnsi="Times New Roman"/>
                <w:sz w:val="18"/>
                <w:szCs w:val="18"/>
                <w:b w:val="1"/>
                <w:bCs w:val="1"/>
                <w:color w:val="auto"/>
                <w:w w:val="99"/>
              </w:rPr>
              <w:t>]</w:t>
            </w:r>
          </w:p>
        </w:tc>
      </w:tr>
      <w:tr>
        <w:trPr>
          <w:trHeight w:val="324"/>
        </w:trPr>
        <w:tc>
          <w:tcPr>
            <w:tcW w:w="2340" w:type="dxa"/>
            <w:vAlign w:val="bottom"/>
          </w:tcPr>
          <w:p>
            <w:pPr>
              <w:spacing w:after="0"/>
              <w:rPr>
                <w:sz w:val="24"/>
                <w:szCs w:val="24"/>
                <w:color w:val="auto"/>
              </w:rPr>
            </w:pPr>
          </w:p>
        </w:tc>
        <w:tc>
          <w:tcPr>
            <w:tcW w:w="8680" w:type="dxa"/>
            <w:vAlign w:val="bottom"/>
            <w:gridSpan w:val="2"/>
          </w:tcPr>
          <w:p>
            <w:pPr>
              <w:jc w:val="center"/>
              <w:ind w:right="227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b w:val="1"/>
                <w:bCs w:val="1"/>
                <w:i w:val="1"/>
                <w:iCs w:val="1"/>
                <w:color w:val="auto"/>
                <w:w w:val="99"/>
              </w:rPr>
              <w:t>Insert Private Placement Legend, if applicable</w:t>
            </w:r>
            <w:r>
              <w:rPr>
                <w:rFonts w:ascii="Times New Roman" w:cs="Times New Roman" w:eastAsia="Times New Roman" w:hAnsi="Times New Roman"/>
                <w:sz w:val="18"/>
                <w:szCs w:val="18"/>
                <w:b w:val="1"/>
                <w:bCs w:val="1"/>
                <w:color w:val="auto"/>
                <w:w w:val="99"/>
              </w:rPr>
              <w:t>]</w:t>
            </w:r>
          </w:p>
        </w:tc>
      </w:tr>
      <w:tr>
        <w:trPr>
          <w:trHeight w:val="441"/>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No. _______</w:t>
            </w:r>
          </w:p>
        </w:tc>
        <w:tc>
          <w:tcPr>
            <w:tcW w:w="8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CUSIP No. ____________</w:t>
            </w:r>
          </w:p>
        </w:tc>
      </w:tr>
      <w:tr>
        <w:trPr>
          <w:trHeight w:val="216"/>
        </w:trPr>
        <w:tc>
          <w:tcPr>
            <w:tcW w:w="2340" w:type="dxa"/>
            <w:vAlign w:val="bottom"/>
          </w:tcPr>
          <w:p>
            <w:pPr>
              <w:spacing w:after="0"/>
              <w:rPr>
                <w:sz w:val="18"/>
                <w:szCs w:val="18"/>
                <w:color w:val="auto"/>
              </w:rPr>
            </w:pPr>
          </w:p>
        </w:tc>
        <w:tc>
          <w:tcPr>
            <w:tcW w:w="8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ISIN No. ____________</w:t>
            </w:r>
          </w:p>
        </w:tc>
      </w:tr>
      <w:tr>
        <w:trPr>
          <w:trHeight w:val="234"/>
        </w:trPr>
        <w:tc>
          <w:tcPr>
            <w:tcW w:w="2340" w:type="dxa"/>
            <w:vAlign w:val="bottom"/>
          </w:tcPr>
          <w:p>
            <w:pPr>
              <w:spacing w:after="0"/>
              <w:rPr>
                <w:sz w:val="20"/>
                <w:szCs w:val="20"/>
                <w:color w:val="auto"/>
              </w:rPr>
            </w:pPr>
          </w:p>
        </w:tc>
        <w:tc>
          <w:tcPr>
            <w:tcW w:w="8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$____________</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color w:val="auto"/>
        </w:rPr>
        <w:t>WESCO DISTRIBUTION, INC., a Delaware corporation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for value received promises to pay to ___________ or registered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assigns the principal sum of ______________ (or such other principal amount as shall be set forth in the Schedule of Exchanges of Interests in Global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attached hereto), on March 15, 2029.</w:t>
      </w:r>
    </w:p>
    <w:p>
      <w:pPr>
        <w:spacing w:after="0" w:line="234"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color w:val="auto"/>
        </w:rPr>
        <w:t>Interest Payment Dates:</w:t>
        <w:tab/>
        <w:t>March 15 and September 15, commencing on September 15, 2024.</w:t>
      </w:r>
    </w:p>
    <w:p>
      <w:pPr>
        <w:spacing w:after="0" w:line="252"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8"/>
          <w:szCs w:val="18"/>
          <w:color w:val="auto"/>
        </w:rPr>
        <w:t>Record Dates:</w:t>
      </w:r>
      <w:r>
        <w:rPr>
          <w:sz w:val="20"/>
          <w:szCs w:val="20"/>
          <w:color w:val="auto"/>
        </w:rPr>
        <w:tab/>
      </w:r>
      <w:r>
        <w:rPr>
          <w:rFonts w:ascii="Times New Roman" w:cs="Times New Roman" w:eastAsia="Times New Roman" w:hAnsi="Times New Roman"/>
          <w:sz w:val="18"/>
          <w:szCs w:val="18"/>
          <w:color w:val="auto"/>
        </w:rPr>
        <w:t>March 1 and September 1 (whether or not a Business Day).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Reference is made to the further provisions of this Note contained herein, which will for all purposes have the same effect as if set forth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place.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020"/>
          </w:cols>
          <w:pgMar w:left="440" w:top="257" w:right="4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Issuer has caused this Note to be signed manually or by facsimile by a duly authorized officer.</w:t>
      </w:r>
    </w:p>
    <w:p>
      <w:pPr>
        <w:spacing w:after="0" w:line="2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WESCO DISTRIBUTION,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3909695</wp:posOffset>
            </wp:positionH>
            <wp:positionV relativeFrom="paragraph">
              <wp:posOffset>17145</wp:posOffset>
            </wp:positionV>
            <wp:extent cx="24599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1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9060"/>
          </w:cols>
          <w:pgMar w:left="1420" w:top="270" w:right="1419" w:bottom="1440" w:gutter="0" w:footer="0" w:header="0"/>
        </w:sectPr>
      </w:pPr>
    </w:p>
    <w:bookmarkStart w:id="105" w:name="page106"/>
    <w:bookmarkEnd w:id="105"/>
    <w:p>
      <w:pPr>
        <w:ind w:left="4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 of Authentication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is one of the 6.375% Senior Notes due 2029 referred to in the within-mentioned Indenture.</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U.S. BANK TRUST COMPANY, NATIONAL</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ASSOCIATION, as 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_____________________</w:t>
      </w:r>
    </w:p>
    <w:p>
      <w:pPr>
        <w:spacing w:after="0" w:line="15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0019"/>
          </w:cols>
          <w:pgMar w:left="440" w:top="270" w:right="1440"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OF REVERSE OF SENIOR NOTE DUE 2029]</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DISTRIBUTION, INC.</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6.375% SENIOR NOTE DUE 2029</w:t>
      </w:r>
    </w:p>
    <w:p>
      <w:pPr>
        <w:spacing w:after="0" w:line="225"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Capitalized and certain other terms used herein and not otherwise defined have the meanings set forth in the Indenture referred to below unless otherwise indicated.</w:t>
      </w:r>
    </w:p>
    <w:p>
      <w:pPr>
        <w:spacing w:after="0" w:line="162" w:lineRule="exact"/>
        <w:rPr>
          <w:sz w:val="20"/>
          <w:szCs w:val="20"/>
          <w:color w:val="auto"/>
        </w:rPr>
      </w:pPr>
    </w:p>
    <w:p>
      <w:pPr>
        <w:ind w:right="100" w:firstLine="987"/>
        <w:spacing w:after="0" w:line="255" w:lineRule="auto"/>
        <w:tabs>
          <w:tab w:leader="none" w:pos="1171"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WESCO DISTRIBUTION, INC., a Delaware corporation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promises to pay interest on the principal amount set forth on the face hereof of this 6.375% Senior Note due 2029 (this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and, together with any other 6.375% Senior Notes due 2029, the “</w:t>
      </w:r>
      <w:r>
        <w:rPr>
          <w:rFonts w:ascii="Times New Roman" w:cs="Times New Roman" w:eastAsia="Times New Roman" w:hAnsi="Times New Roman"/>
          <w:sz w:val="18"/>
          <w:szCs w:val="18"/>
          <w:u w:val="single" w:color="auto"/>
          <w:color w:val="auto"/>
        </w:rPr>
        <w:t>5-Year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at a rate of 6.375% per annum. Interest hereon will accrue from and including the most recent date to which interest has been paid or, if no interest has been paid, from and including March 7, 2024 to but excluding the date on which interest is paid. Interest shall be payable in arrears on each March 15 and September 15, commencing September 15, 2024. Interest will be computed on the basis of a 360-day year of twelve 30-day months and actual days elapsed. The Issuer shall pay interest on overdue principal and on overdue interest (to the full extent permitted by law) at the rate borne by the 5-Year Notes.</w:t>
      </w:r>
    </w:p>
    <w:p>
      <w:pPr>
        <w:spacing w:after="0" w:line="188" w:lineRule="exact"/>
        <w:rPr>
          <w:rFonts w:ascii="Times New Roman" w:cs="Times New Roman" w:eastAsia="Times New Roman" w:hAnsi="Times New Roman"/>
          <w:sz w:val="18"/>
          <w:szCs w:val="18"/>
          <w:color w:val="auto"/>
        </w:rPr>
      </w:pPr>
    </w:p>
    <w:p>
      <w:pPr>
        <w:ind w:firstLine="987"/>
        <w:spacing w:after="0" w:line="261" w:lineRule="auto"/>
        <w:tabs>
          <w:tab w:leader="none" w:pos="1171"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Payment</w:t>
      </w:r>
      <w:r>
        <w:rPr>
          <w:rFonts w:ascii="Times New Roman" w:cs="Times New Roman" w:eastAsia="Times New Roman" w:hAnsi="Times New Roman"/>
          <w:sz w:val="18"/>
          <w:szCs w:val="18"/>
          <w:color w:val="auto"/>
        </w:rPr>
        <w:t>. The Issuer will pay interest hereon (except defaulted interest) to the Persons who are registered Holders at the close of business on March 1 or September 1 preceding the Interest Payment Date (whether or not a Business Day). Holders must surrender the 5-Year Notes to a Paying Agent to collect principal payments. The Issuer will pay principal and interest in U.S. Dollars. Interest may be paid by check mailed to the Holder entitled thereto at the address indicated on the register maintained by the Registrar for the 5-Year Notes.</w:t>
      </w:r>
    </w:p>
    <w:p>
      <w:pPr>
        <w:spacing w:after="0" w:line="179" w:lineRule="exact"/>
        <w:rPr>
          <w:rFonts w:ascii="Times New Roman" w:cs="Times New Roman" w:eastAsia="Times New Roman" w:hAnsi="Times New Roman"/>
          <w:sz w:val="18"/>
          <w:szCs w:val="18"/>
          <w:color w:val="auto"/>
        </w:rPr>
      </w:pPr>
    </w:p>
    <w:p>
      <w:pPr>
        <w:ind w:right="240" w:firstLine="987"/>
        <w:spacing w:after="0" w:line="266" w:lineRule="auto"/>
        <w:tabs>
          <w:tab w:leader="none" w:pos="1171"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Paying Agent and Registrar</w:t>
      </w:r>
      <w:r>
        <w:rPr>
          <w:rFonts w:ascii="Times New Roman" w:cs="Times New Roman" w:eastAsia="Times New Roman" w:hAnsi="Times New Roman"/>
          <w:sz w:val="18"/>
          <w:szCs w:val="18"/>
          <w:color w:val="auto"/>
        </w:rPr>
        <w:t>. Initially, U.S. Bank Trust Company, National Association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will act as a Paying Agent and Registrar. The Issuer may change any Paying Agent or Registrar without notice. The Issuer or any Affiliate thereof may act as Paying Agent or Registrar.</w:t>
      </w:r>
    </w:p>
    <w:p>
      <w:pPr>
        <w:spacing w:after="0" w:line="175" w:lineRule="exact"/>
        <w:rPr>
          <w:rFonts w:ascii="Times New Roman" w:cs="Times New Roman" w:eastAsia="Times New Roman" w:hAnsi="Times New Roman"/>
          <w:sz w:val="18"/>
          <w:szCs w:val="18"/>
          <w:color w:val="auto"/>
        </w:rPr>
      </w:pPr>
    </w:p>
    <w:p>
      <w:pPr>
        <w:ind w:right="140" w:firstLine="987"/>
        <w:spacing w:after="0" w:line="261" w:lineRule="auto"/>
        <w:tabs>
          <w:tab w:leader="none" w:pos="1171"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The Issuer issued the 5-Year Notes under an Indenture dated as of March 7, 2024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among the Issuer, the Parent Guarantor, the Subsidiary Guarantor and the Trustee. This is one of an issue of 5-Year Notes of the Issuer issued, or to be issued, under the Indenture. The terms of the 5-Year Notes include those stated in the Indenture. The 5-Year Notes are subject to all such terms, and Holders are referred to the Indenture for a statement of them.</w:t>
      </w:r>
    </w:p>
    <w:p>
      <w:pPr>
        <w:spacing w:after="0" w:line="179"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At any time prior to March 15, 2026, the Issuer may on any one or more occasions redeem up to (i) 35% of the original aggregate principal amount of the 5-Year Notes issued under the Indenture and (ii) all or a portion of any applicable Additional Notes issued after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1000"/>
          </w:cols>
          <w:pgMar w:left="440" w:top="270" w:right="459" w:bottom="1440" w:gutter="0" w:footer="0" w:header="0"/>
        </w:sectPr>
      </w:pPr>
    </w:p>
    <w:bookmarkStart w:id="107" w:name="page108"/>
    <w:bookmarkEnd w:id="107"/>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Issue Date, upon not less than 10 nor more than 60 days’ notice, at a redemption price equal to 106.375% of the principal amount of the 5-Year Notes redeemed, plus accrued and unpaid interest, if any, to but excluding the redemption date, with an amount of cash no greater than the cash proceeds (net of underwriting discounts and commissions) of all Equity Offerings since the Issue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68" w:lineRule="exact"/>
        <w:rPr>
          <w:sz w:val="20"/>
          <w:szCs w:val="20"/>
          <w:color w:val="auto"/>
        </w:rPr>
      </w:pPr>
    </w:p>
    <w:p>
      <w:pPr>
        <w:ind w:left="440" w:right="340" w:firstLine="419"/>
        <w:spacing w:after="0" w:line="266" w:lineRule="auto"/>
        <w:tabs>
          <w:tab w:leader="none" w:pos="111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65% (calculated after giving effect to any issuance of applicable Additional Notes) of the aggregate principal amount of the 5-Year Notes issued under the Indenture (excluding the 5-Year Notes held by the Issuer and its Subsidiaries) remains outstanding immediately after the occurrence of such redemption; and</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occurs within 180 days of the date of the closing of such Equity Offering.</w:t>
      </w:r>
    </w:p>
    <w:p>
      <w:pPr>
        <w:spacing w:after="0" w:line="225" w:lineRule="exact"/>
        <w:rPr>
          <w:sz w:val="20"/>
          <w:szCs w:val="20"/>
          <w:color w:val="auto"/>
        </w:rPr>
      </w:pPr>
    </w:p>
    <w:p>
      <w:pPr>
        <w:jc w:val="both"/>
        <w:ind w:right="60" w:firstLine="991"/>
        <w:spacing w:after="0" w:line="258" w:lineRule="auto"/>
        <w:rPr>
          <w:sz w:val="20"/>
          <w:szCs w:val="20"/>
          <w:color w:val="auto"/>
        </w:rPr>
      </w:pPr>
      <w:r>
        <w:rPr>
          <w:rFonts w:ascii="Times New Roman" w:cs="Times New Roman" w:eastAsia="Times New Roman" w:hAnsi="Times New Roman"/>
          <w:sz w:val="18"/>
          <w:szCs w:val="18"/>
          <w:color w:val="auto"/>
        </w:rPr>
        <w:t>In addition, prior to March 15, 2026, the Issuer may redeem the 5-Year Notes, in whole or in part, at a redemption price equal to 100% of the principal amount thereof, plus accrued and unpaid interest, if any, to but excluding the applicable 5-Year Notes Make-Whole Redemption Date, plus the 5-Year Notes Make-Whole Premium. The Issuer will notify the Trustee of the 5-Year Notes Make-Whole Premium by delivering to the Trustee, on or before the applicable 5-Year Notes Make-Whole Redemption Date, an Officer’s Certificate showing the calculation thereof in reasonable detail, and the Trustee will not be responsible for verifying or otherwise for such calculation.</w:t>
      </w:r>
    </w:p>
    <w:p>
      <w:pPr>
        <w:spacing w:after="0" w:line="183"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On or after March 15, 2026, the Issuer may on any one or more occasions redeem all or a part of the 5-Year Notes, upon not less than 10 nor more than 60 days’ notice, at the redemption prices (expressed as percentages of principal amount) set forth below, plus accrued and unpaid interest, if any, on the 5-Year Notes redeemed, to but excluding the applicable Redemption Date, if redeemed during the 12-month period beginning on March 15 of the years indicated below:</w:t>
      </w:r>
    </w:p>
    <w:p>
      <w:pPr>
        <w:spacing w:after="0" w:line="200" w:lineRule="exact"/>
        <w:rPr>
          <w:sz w:val="20"/>
          <w:szCs w:val="20"/>
          <w:color w:val="auto"/>
        </w:rPr>
      </w:pPr>
    </w:p>
    <w:tbl>
      <w:tblPr>
        <w:tblLayout w:type="fixed"/>
        <w:tblInd w:w="1760" w:type="dxa"/>
        <w:tblCellMar>
          <w:top w:w="0" w:type="dxa"/>
          <w:left w:w="0" w:type="dxa"/>
          <w:bottom w:w="0" w:type="dxa"/>
          <w:right w:w="0" w:type="dxa"/>
        </w:tblCellMar>
      </w:tblPr>
      <w:tr>
        <w:trPr>
          <w:trHeight w:val="173"/>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630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20"/>
        </w:trPr>
        <w:tc>
          <w:tcPr>
            <w:tcW w:w="66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00" w:type="dxa"/>
            <w:vAlign w:val="bottom"/>
            <w:gridSpan w:val="2"/>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103.188%</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2027</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101.594%</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 and thereafter</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00" w:firstLine="991"/>
        <w:spacing w:after="0" w:line="255" w:lineRule="auto"/>
        <w:rPr>
          <w:sz w:val="20"/>
          <w:szCs w:val="20"/>
          <w:color w:val="auto"/>
        </w:rPr>
      </w:pPr>
      <w:r>
        <w:rPr>
          <w:rFonts w:ascii="Times New Roman" w:cs="Times New Roman" w:eastAsia="Times New Roman" w:hAnsi="Times New Roman"/>
          <w:sz w:val="18"/>
          <w:szCs w:val="18"/>
          <w:color w:val="auto"/>
        </w:rPr>
        <w:t>Unless the Issuer defaults in the payment of the redemption price, interest will cease to accrue on the 5-Year Notes or portions thereof called for redemption on the applicable redemption date. Any notice of redemption of the 5-Year Notes may, at the Issuer’s discretion, be subject to one or more conditions precedent with respect to completion of a corporate transaction (including, but not limited to, any merger, acquisition, disposition, asset sale or corporate restructuring or reorganization) or financing (including, but not limited to, any incurrence of Indebtedness (or entering into a commitment with respect thereto), Sale and Leaseback Transaction, issuance of securities, equity offering or contribution, liability management transaction or other capital raise) and may be given prior to the completion thereof. If a redemption is subject to satisfaction of one or more conditions precedent, the notice shall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1000"/>
          </w:cols>
          <w:pgMar w:left="440" w:top="270" w:right="459" w:bottom="1440" w:gutter="0" w:footer="0" w:header="0"/>
        </w:sectPr>
      </w:pPr>
    </w:p>
    <w:bookmarkStart w:id="108" w:name="page109"/>
    <w:bookmarkEnd w:id="108"/>
    <w:p>
      <w:pPr>
        <w:ind w:right="2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describe each condition, and the notice may be rescinded in the event that any or all of the conditions shall not have been satisfied by the redemption date. The Issuer may provide in such notice that payment of the redemption price and performance of the Issuer’s obligations with respect to such redemption may be performed by another Person.</w:t>
      </w:r>
    </w:p>
    <w:p>
      <w:pPr>
        <w:spacing w:after="0" w:line="176"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In addition, the Issuer may acquire 5-Year Notes by means other than a redemption, whether by tender offer, open market purchases, negotiated transactions or otherwise, in accordance with applicable securities laws, so long as such acquisition does not otherwise violate the terms of the Indenture.</w:t>
      </w:r>
    </w:p>
    <w:p>
      <w:pPr>
        <w:spacing w:after="0" w:line="176"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Notwithstanding the foregoing, the payment of accrued but unpaid interest in connection with the redemption of 5-Year Notes is subject to the rights of a Holder of 5-Year Notes on a record date for the payment of interest whose 5-Year Notes are to be redeemed on or after such record date but on or prior to the related interest payment date to receive interest on such interest payment date.</w:t>
      </w:r>
    </w:p>
    <w:p>
      <w:pPr>
        <w:spacing w:after="0" w:line="176" w:lineRule="exact"/>
        <w:rPr>
          <w:sz w:val="20"/>
          <w:szCs w:val="20"/>
          <w:color w:val="auto"/>
        </w:rPr>
      </w:pPr>
    </w:p>
    <w:p>
      <w:pPr>
        <w:ind w:firstLine="987"/>
        <w:spacing w:after="0" w:line="256" w:lineRule="auto"/>
        <w:tabs>
          <w:tab w:leader="none" w:pos="1171"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Optional Redemption</w:t>
      </w:r>
      <w:r>
        <w:rPr>
          <w:rFonts w:ascii="Times New Roman" w:cs="Times New Roman" w:eastAsia="Times New Roman" w:hAnsi="Times New Roman"/>
          <w:sz w:val="18"/>
          <w:szCs w:val="18"/>
          <w:color w:val="auto"/>
        </w:rPr>
        <w:t>. Notices of redemption shall be mailed by first class mail or sent electronically at least 10 but not more than 60 days before the Redemption Date to each Holder of 5-Year Notes to be redeemed at its registered address (or to the extent permitted or required by applicable Depositary procedures or regulations with respect to global 5-Year Notes, sent electronically). If any 5-Year Note is to be redeemed in part only, the notice of redemption that relates to such 5-Year Note shall state the portion of the principal amount thereof to be redeemed. Any redemption and notice thereof may, in the Issuer’s discretion, be subject to the satisfaction of one or more conditions precedent described in the notice relating to such redemption.</w:t>
      </w:r>
    </w:p>
    <w:p>
      <w:pPr>
        <w:spacing w:after="0" w:line="187" w:lineRule="exact"/>
        <w:rPr>
          <w:rFonts w:ascii="Times New Roman" w:cs="Times New Roman" w:eastAsia="Times New Roman" w:hAnsi="Times New Roman"/>
          <w:sz w:val="18"/>
          <w:szCs w:val="18"/>
          <w:color w:val="auto"/>
        </w:rPr>
      </w:pPr>
    </w:p>
    <w:p>
      <w:pPr>
        <w:jc w:val="both"/>
        <w:ind w:right="360" w:firstLine="987"/>
        <w:spacing w:after="0" w:line="266" w:lineRule="auto"/>
        <w:tabs>
          <w:tab w:leader="none" w:pos="1171"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Offers To Purchase</w:t>
      </w:r>
      <w:r>
        <w:rPr>
          <w:rFonts w:ascii="Times New Roman" w:cs="Times New Roman" w:eastAsia="Times New Roman" w:hAnsi="Times New Roman"/>
          <w:sz w:val="18"/>
          <w:szCs w:val="18"/>
          <w:color w:val="auto"/>
        </w:rPr>
        <w:t>. The Indenture provides that upon the occurrence of a Change of Control or an Asset Sale and subject to further limitations contained therein, the Issuer shall make an offer to purchase outstanding 5-Year Notes in accordance with the procedures set forth in the Indenture.</w:t>
      </w:r>
    </w:p>
    <w:p>
      <w:pPr>
        <w:spacing w:after="0" w:line="175" w:lineRule="exact"/>
        <w:rPr>
          <w:rFonts w:ascii="Times New Roman" w:cs="Times New Roman" w:eastAsia="Times New Roman" w:hAnsi="Times New Roman"/>
          <w:sz w:val="18"/>
          <w:szCs w:val="18"/>
          <w:color w:val="auto"/>
        </w:rPr>
      </w:pPr>
    </w:p>
    <w:p>
      <w:pPr>
        <w:ind w:right="20" w:firstLine="987"/>
        <w:spacing w:after="0" w:line="258" w:lineRule="auto"/>
        <w:tabs>
          <w:tab w:leader="none" w:pos="1171"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Denominations, Transfer, Exchange</w:t>
      </w:r>
      <w:r>
        <w:rPr>
          <w:rFonts w:ascii="Times New Roman" w:cs="Times New Roman" w:eastAsia="Times New Roman" w:hAnsi="Times New Roman"/>
          <w:sz w:val="18"/>
          <w:szCs w:val="18"/>
          <w:color w:val="auto"/>
        </w:rPr>
        <w:t>. The 5-Year Notes are in registered form without coupons in denominations of $2,000 and integral multiples of $1,000 in excess of $2,000. A Holder may transfer or exchange 5-Year Notes in accordance with the Indenture. The Registrar may require a Holder, among other things, to furnish appropriate endorsements and transfer documents and to pay to it any taxes and fees required by law or permitted by the Indenture. The Registrar need not register the transfer of or exchange any 5-Year Notes or portion of a 5-Year Note selected for redemption, or register the transfer of or exchange any 5-Year Notes for a period of 15 days before a mailing of notice of redemption.</w:t>
      </w:r>
    </w:p>
    <w:p>
      <w:pPr>
        <w:spacing w:after="0" w:line="183"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Deemed Owners</w:t>
      </w:r>
      <w:r>
        <w:rPr>
          <w:rFonts w:ascii="Times New Roman" w:cs="Times New Roman" w:eastAsia="Times New Roman" w:hAnsi="Times New Roman"/>
          <w:sz w:val="18"/>
          <w:szCs w:val="18"/>
          <w:color w:val="auto"/>
        </w:rPr>
        <w:t>. The registered Holder of this Note may be treated as the owner of this Note for all purposes.</w:t>
      </w:r>
    </w:p>
    <w:p>
      <w:pPr>
        <w:spacing w:after="0" w:line="225" w:lineRule="exact"/>
        <w:rPr>
          <w:rFonts w:ascii="Times New Roman" w:cs="Times New Roman" w:eastAsia="Times New Roman" w:hAnsi="Times New Roman"/>
          <w:sz w:val="18"/>
          <w:szCs w:val="18"/>
          <w:color w:val="auto"/>
        </w:rPr>
      </w:pPr>
    </w:p>
    <w:p>
      <w:pPr>
        <w:ind w:right="60" w:firstLine="987"/>
        <w:spacing w:after="0" w:line="266" w:lineRule="auto"/>
        <w:tabs>
          <w:tab w:leader="none" w:pos="1261"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Unclaimed Money</w:t>
      </w:r>
      <w:r>
        <w:rPr>
          <w:rFonts w:ascii="Times New Roman" w:cs="Times New Roman" w:eastAsia="Times New Roman" w:hAnsi="Times New Roman"/>
          <w:sz w:val="18"/>
          <w:szCs w:val="18"/>
          <w:color w:val="auto"/>
        </w:rPr>
        <w:t>. If money held by the Paying Agent or Trustee for the payment of principal or interest remains unclaimed for two years, the Paying Agent or Trustee, as applicable, will pay such money back to the Issuer at its written request. After that, Holders entitled to the money must look to the Issuer and the Guarantors for payment as general creditors unless an “abandoned property” law designates another Person.</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A-1-7</w:t>
      </w:r>
    </w:p>
    <w:p>
      <w:pPr>
        <w:sectPr>
          <w:pgSz w:w="11900" w:h="16838" w:orient="portrait"/>
          <w:cols w:equalWidth="0" w:num="1">
            <w:col w:w="10980"/>
          </w:cols>
          <w:pgMar w:left="440" w:top="270" w:right="479" w:bottom="1440" w:gutter="0" w:footer="0" w:header="0"/>
        </w:sectPr>
      </w:pPr>
    </w:p>
    <w:bookmarkStart w:id="109" w:name="page110"/>
    <w:bookmarkEnd w:id="109"/>
    <w:p>
      <w:pPr>
        <w:ind w:left="-20" w:right="20" w:firstLine="987"/>
        <w:spacing w:after="0" w:line="258" w:lineRule="auto"/>
        <w:tabs>
          <w:tab w:leader="none" w:pos="123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Supplement, Waiver, Etc.</w:t>
      </w:r>
      <w:r>
        <w:rPr>
          <w:rFonts w:ascii="Times New Roman" w:cs="Times New Roman" w:eastAsia="Times New Roman" w:hAnsi="Times New Roman"/>
          <w:sz w:val="18"/>
          <w:szCs w:val="18"/>
          <w:color w:val="auto"/>
        </w:rPr>
        <w:t xml:space="preserve"> The Issuer and the Trustee may, without the consent of the Holders of any outstanding 5-Year Notes, amend, waive or supplement the Indenture or the 5-Year Notes for certain specified purposes, including, among other things, curing ambiguities, omissions, defects or inconsistencies, providing for the assumption by a successor to the Issuer of its obligations to the Holders and making any change that does not adversely affect the rights of any Holder in any material respect. Other amendments and modifications of the Indenture or the 5-Year Notes may be made by the Issuer and the Trustee with the consent of Holders as further described in the Indenture.</w:t>
      </w:r>
    </w:p>
    <w:p>
      <w:pPr>
        <w:spacing w:after="0" w:line="183" w:lineRule="exact"/>
        <w:rPr>
          <w:rFonts w:ascii="Times New Roman" w:cs="Times New Roman" w:eastAsia="Times New Roman" w:hAnsi="Times New Roman"/>
          <w:sz w:val="18"/>
          <w:szCs w:val="18"/>
          <w:color w:val="auto"/>
        </w:rPr>
      </w:pPr>
    </w:p>
    <w:p>
      <w:pPr>
        <w:ind w:left="-20" w:right="120" w:firstLine="987"/>
        <w:spacing w:after="0" w:line="258" w:lineRule="auto"/>
        <w:tabs>
          <w:tab w:leader="none" w:pos="1241"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Covenants</w:t>
      </w:r>
      <w:r>
        <w:rPr>
          <w:rFonts w:ascii="Times New Roman" w:cs="Times New Roman" w:eastAsia="Times New Roman" w:hAnsi="Times New Roman"/>
          <w:sz w:val="18"/>
          <w:szCs w:val="18"/>
          <w:color w:val="auto"/>
        </w:rPr>
        <w:t>. The Indenture imposes certain limitations on the ability of the Parent Guarantor and its Subsidiaries to, among other things, create liens, make Restricted Payments, enter into Sale and Leaseback Transactions or consolidate, merge or sell all or substantially all of the assets of the Parent Guarantor and its Subsidiaries and requires the Issuer to provide reports to Holders of the 5-Year Notes. Such limitations are subject to a number of important qualifications and exceptions. Pursuant to Section 4.05 of the Indenture, the Issuer must annually report to the Trustee on compliance with such limitations.</w:t>
      </w:r>
    </w:p>
    <w:p>
      <w:pPr>
        <w:spacing w:after="0" w:line="183" w:lineRule="exact"/>
        <w:rPr>
          <w:rFonts w:ascii="Times New Roman" w:cs="Times New Roman" w:eastAsia="Times New Roman" w:hAnsi="Times New Roman"/>
          <w:sz w:val="18"/>
          <w:szCs w:val="18"/>
          <w:color w:val="auto"/>
        </w:rPr>
      </w:pPr>
    </w:p>
    <w:p>
      <w:pPr>
        <w:ind w:left="-20" w:right="80" w:firstLine="987"/>
        <w:spacing w:after="0" w:line="266" w:lineRule="auto"/>
        <w:tabs>
          <w:tab w:leader="none" w:pos="1241"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 Person</w:t>
      </w:r>
      <w:r>
        <w:rPr>
          <w:rFonts w:ascii="Times New Roman" w:cs="Times New Roman" w:eastAsia="Times New Roman" w:hAnsi="Times New Roman"/>
          <w:sz w:val="18"/>
          <w:szCs w:val="18"/>
          <w:color w:val="auto"/>
        </w:rPr>
        <w:t>. When a successor Person assumes all the obligations of its predecessor under the 5-Year Notes and the Indenture and the transaction complies with the terms of Article Five of the Indenture, the predecessor Person will, except as provided in Article Five, be released from those obligations.</w:t>
      </w:r>
    </w:p>
    <w:p>
      <w:pPr>
        <w:spacing w:after="0" w:line="175" w:lineRule="exact"/>
        <w:rPr>
          <w:rFonts w:ascii="Times New Roman" w:cs="Times New Roman" w:eastAsia="Times New Roman" w:hAnsi="Times New Roman"/>
          <w:sz w:val="18"/>
          <w:szCs w:val="18"/>
          <w:color w:val="auto"/>
        </w:rPr>
      </w:pPr>
    </w:p>
    <w:p>
      <w:pPr>
        <w:ind w:left="-20" w:firstLine="987"/>
        <w:spacing w:after="0" w:line="254" w:lineRule="auto"/>
        <w:tabs>
          <w:tab w:leader="none" w:pos="1241"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Defaults and Remedies</w:t>
      </w:r>
      <w:r>
        <w:rPr>
          <w:rFonts w:ascii="Times New Roman" w:cs="Times New Roman" w:eastAsia="Times New Roman" w:hAnsi="Times New Roman"/>
          <w:sz w:val="18"/>
          <w:szCs w:val="18"/>
          <w:color w:val="auto"/>
        </w:rPr>
        <w:t xml:space="preserve">. Events of Default are set forth in the Indenture. If an Event of Default occurs and is continuing under the Indenture, either the Trustee, by notice in writing to the Issuer, or the Holders of at least 25% in aggregate principal amount of the 5-Year Notes then outstanding, by notice in writing to the Issuer and the Trustee specifying the respective Event of Default and that it is a “notice of acceleration”, may declare the principal of and premium, if any, and accrued interest, if any, on the 5-Year Notes to be due and payable, and upon such declaration of acceleration, such principal of and premium, if any, and accrued interest, if any, shall be immediately due and payable;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notwithstanding the foregoing, if an Event of Default specified in Section 6.01(7) occurs with respect to the Issuer or the Parent Guarantor, the principal of and premium, if any, and accrued interest, if any, on the 5-Year Notes then outstanding shall become and be immediately due and payable without any declaration or other act on the part of the Trustee or any Holder.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A-1-8</w:t>
      </w:r>
    </w:p>
    <w:p>
      <w:pPr>
        <w:sectPr>
          <w:pgSz w:w="11900" w:h="16838" w:orient="portrait"/>
          <w:cols w:equalWidth="0" w:num="1">
            <w:col w:w="10980"/>
          </w:cols>
          <w:pgMar w:left="460" w:top="270" w:right="459" w:bottom="1440" w:gutter="0" w:footer="0" w:header="0"/>
        </w:sectPr>
      </w:pPr>
    </w:p>
    <w:bookmarkStart w:id="110" w:name="page111"/>
    <w:bookmarkEnd w:id="11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if after such acceleration but before a judgment or decree based on such acceleration is obtained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the Holders of a majority in aggregate principal amount of the 5-Year Notes then outstanding may rescind and annul such acceleration if:</w:t>
      </w:r>
    </w:p>
    <w:p>
      <w:pPr>
        <w:spacing w:after="0" w:line="99" w:lineRule="exact"/>
        <w:rPr>
          <w:sz w:val="20"/>
          <w:szCs w:val="20"/>
          <w:color w:val="auto"/>
        </w:rPr>
      </w:pPr>
    </w:p>
    <w:p>
      <w:pPr>
        <w:ind w:left="440" w:right="660" w:firstLine="419"/>
        <w:spacing w:after="0" w:line="282" w:lineRule="auto"/>
        <w:tabs>
          <w:tab w:leader="none" w:pos="111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other than nonpayment of principal, premium, if any, or interest that has become due solely because of the acceleration, have been cured or waived;</w:t>
      </w:r>
    </w:p>
    <w:p>
      <w:pPr>
        <w:spacing w:after="0" w:line="53"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1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payment of such interest is lawful, interest on overdue installments of interest and overdue principal, which has become due otherwise than by such declaration of acceleration, has been paid;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paid the Trustee its reasonable compensation and reimbursed the Trustee for its expenses, disbursements and advances;</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98" w:lineRule="exact"/>
        <w:rPr>
          <w:rFonts w:ascii="Times New Roman" w:cs="Times New Roman" w:eastAsia="Times New Roman" w:hAnsi="Times New Roman"/>
          <w:sz w:val="18"/>
          <w:szCs w:val="18"/>
          <w:color w:val="auto"/>
        </w:rPr>
      </w:pPr>
    </w:p>
    <w:p>
      <w:pPr>
        <w:ind w:left="440" w:right="440" w:firstLine="419"/>
        <w:spacing w:after="0" w:line="282" w:lineRule="auto"/>
        <w:tabs>
          <w:tab w:leader="none" w:pos="111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cure or waiver of an Event of Default of the type described in Section 6.01(7), the Trustee shall have received an Officer’s Certificate and an Opinion of Counsel that such Event of Default has been cured or waived.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such rescission shall affect any subsequent Default or impair any right consequent thereto.</w:t>
      </w:r>
    </w:p>
    <w:p>
      <w:pPr>
        <w:spacing w:after="0" w:line="225"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Holders may not enforce the Indenture or the 5-Year Notes except as provided in the Indenture. The Trustee may require indemnity satisfactory to it before it enforces the Indenture or the 5-Year Notes. Subject to certain limitations, Holders of a majority in principal amount of the then outstanding 5-Year Notes may direct the Trustee in its exercise of any trust or power. The Trustee may withhold from Holders notice of any continuing Default or Event of Default (except a Default or Event of Default relating to the payment of principal of or interest on the 5-Year Notes) if it determines that withholding notice is in their best interests.</w:t>
      </w:r>
    </w:p>
    <w:p>
      <w:pPr>
        <w:spacing w:after="0" w:line="183" w:lineRule="exact"/>
        <w:rPr>
          <w:sz w:val="20"/>
          <w:szCs w:val="20"/>
          <w:color w:val="auto"/>
        </w:rPr>
      </w:pPr>
    </w:p>
    <w:p>
      <w:pPr>
        <w:ind w:right="380" w:firstLine="987"/>
        <w:spacing w:after="0" w:line="282" w:lineRule="auto"/>
        <w:tabs>
          <w:tab w:leader="none" w:pos="126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Trustee Dealings with the Issuer</w:t>
      </w:r>
      <w:r>
        <w:rPr>
          <w:rFonts w:ascii="Times New Roman" w:cs="Times New Roman" w:eastAsia="Times New Roman" w:hAnsi="Times New Roman"/>
          <w:sz w:val="18"/>
          <w:szCs w:val="18"/>
          <w:color w:val="auto"/>
        </w:rPr>
        <w:t>. The Trustee, in its individual or any other capacity, may make loans to, accept deposits from and perform services for the Issuer or its Affiliates, and may otherwise deal with the Issuer or its Affiliates, as if it were not Trustee.</w:t>
      </w:r>
    </w:p>
    <w:p>
      <w:pPr>
        <w:spacing w:after="0" w:line="161" w:lineRule="exact"/>
        <w:rPr>
          <w:rFonts w:ascii="Times New Roman" w:cs="Times New Roman" w:eastAsia="Times New Roman" w:hAnsi="Times New Roman"/>
          <w:sz w:val="18"/>
          <w:szCs w:val="18"/>
          <w:color w:val="auto"/>
        </w:rPr>
      </w:pPr>
    </w:p>
    <w:p>
      <w:pPr>
        <w:ind w:firstLine="987"/>
        <w:spacing w:after="0" w:line="261" w:lineRule="auto"/>
        <w:tabs>
          <w:tab w:leader="none" w:pos="126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Recourse Against Others</w:t>
      </w:r>
      <w:r>
        <w:rPr>
          <w:rFonts w:ascii="Times New Roman" w:cs="Times New Roman" w:eastAsia="Times New Roman" w:hAnsi="Times New Roman"/>
          <w:sz w:val="18"/>
          <w:szCs w:val="18"/>
          <w:color w:val="auto"/>
        </w:rPr>
        <w:t>. No director, officer, employee, incorporator, member of the Board of Directors or holder of Capital Stock of the Parent Guarantor or of any Subsidiary, as such, shall have any liability for any obligations of the Issuer or the Guarantors under the 5-Year Notes, the Indenture or the Guarantees or for any claim based on, in respect of, or by reason of, such obligations or their creation. Each Holder of 5-Year Notes by accepting a 5-Year Note waives and releases all such liability.</w:t>
      </w:r>
    </w:p>
    <w:p>
      <w:pPr>
        <w:spacing w:after="0" w:line="179" w:lineRule="exact"/>
        <w:rPr>
          <w:rFonts w:ascii="Times New Roman" w:cs="Times New Roman" w:eastAsia="Times New Roman" w:hAnsi="Times New Roman"/>
          <w:sz w:val="18"/>
          <w:szCs w:val="18"/>
          <w:color w:val="auto"/>
        </w:rPr>
      </w:pPr>
    </w:p>
    <w:p>
      <w:pPr>
        <w:ind w:right="180" w:firstLine="987"/>
        <w:spacing w:after="0" w:line="261" w:lineRule="auto"/>
        <w:tabs>
          <w:tab w:leader="none" w:pos="126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Satisfaction and Discharge</w:t>
      </w:r>
      <w:r>
        <w:rPr>
          <w:rFonts w:ascii="Times New Roman" w:cs="Times New Roman" w:eastAsia="Times New Roman" w:hAnsi="Times New Roman"/>
          <w:sz w:val="18"/>
          <w:szCs w:val="18"/>
          <w:color w:val="auto"/>
        </w:rPr>
        <w:t>. The Issuer’s and each Guarantors’ obligations pursuant to the Indenture will be discharged, except for obligations pursuant to certain sections thereof, subject to the terms of the Indenture, upon the payment of all the 5-Year Notes or upon the irrevocable deposit with the Trustee of cash in U.S. Dollars, U.S. Government Obligations or a combination thereof, in such amounts as will be sufficient to pay when due principal of and interest on the 5-Year Notes to maturity or redemption, as the case may be.</w:t>
      </w:r>
    </w:p>
    <w:p>
      <w:pPr>
        <w:spacing w:after="0" w:line="179" w:lineRule="exact"/>
        <w:rPr>
          <w:rFonts w:ascii="Times New Roman" w:cs="Times New Roman" w:eastAsia="Times New Roman" w:hAnsi="Times New Roman"/>
          <w:sz w:val="18"/>
          <w:szCs w:val="18"/>
          <w:color w:val="auto"/>
        </w:rPr>
      </w:pPr>
    </w:p>
    <w:p>
      <w:pPr>
        <w:ind w:right="40" w:firstLine="987"/>
        <w:spacing w:after="0" w:line="266" w:lineRule="auto"/>
        <w:tabs>
          <w:tab w:leader="none" w:pos="126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Guarantees</w:t>
      </w:r>
      <w:r>
        <w:rPr>
          <w:rFonts w:ascii="Times New Roman" w:cs="Times New Roman" w:eastAsia="Times New Roman" w:hAnsi="Times New Roman"/>
          <w:sz w:val="18"/>
          <w:szCs w:val="18"/>
          <w:color w:val="auto"/>
        </w:rPr>
        <w:t>. From and after the Issue Date, the 5-Year Notes will be entitled to the benefits of certain Guarantees made for the benefit of the Holders. Reference is hereby made to the Indenture for a statement of the respective rights, limitations of rights, duties and obligations thereunder of the Guarantors, the Trustee and the Holders.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A-1-9</w:t>
      </w:r>
    </w:p>
    <w:p>
      <w:pPr>
        <w:sectPr>
          <w:pgSz w:w="11900" w:h="16838" w:orient="portrait"/>
          <w:cols w:equalWidth="0" w:num="1">
            <w:col w:w="11000"/>
          </w:cols>
          <w:pgMar w:left="440" w:top="270" w:right="459" w:bottom="1440" w:gutter="0" w:footer="0" w:header="0"/>
        </w:sectPr>
      </w:pPr>
    </w:p>
    <w:bookmarkStart w:id="111" w:name="page112"/>
    <w:bookmarkEnd w:id="11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19. </w:t>
      </w:r>
      <w:r>
        <w:rPr>
          <w:rFonts w:ascii="Times New Roman" w:cs="Times New Roman" w:eastAsia="Times New Roman" w:hAnsi="Times New Roman"/>
          <w:sz w:val="18"/>
          <w:szCs w:val="18"/>
          <w:u w:val="single" w:color="auto"/>
          <w:color w:val="auto"/>
        </w:rPr>
        <w:t>Authentication</w:t>
      </w:r>
      <w:r>
        <w:rPr>
          <w:rFonts w:ascii="Times New Roman" w:cs="Times New Roman" w:eastAsia="Times New Roman" w:hAnsi="Times New Roman"/>
          <w:sz w:val="18"/>
          <w:szCs w:val="18"/>
          <w:color w:val="auto"/>
        </w:rPr>
        <w:t>. This Note shall not be valid until the Trustee manually signs the certificate of authentication on the other side of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w:t>
      </w:r>
    </w:p>
    <w:p>
      <w:pPr>
        <w:spacing w:after="0" w:line="207" w:lineRule="exact"/>
        <w:rPr>
          <w:sz w:val="20"/>
          <w:szCs w:val="20"/>
          <w:color w:val="auto"/>
        </w:rPr>
      </w:pPr>
    </w:p>
    <w:p>
      <w:pPr>
        <w:ind w:firstLine="987"/>
        <w:spacing w:after="0" w:line="266" w:lineRule="auto"/>
        <w:tabs>
          <w:tab w:leader="none" w:pos="1261"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NOTE SHALL BE GOVERNED BY AND CONSTRUED IN ACCORDANCE WITH THE LAWS OF THE STATE OF NEW YORK, BUT WITHOUT GIVING EFFECT TO APPLICABLE PRINCIPLES OF CONFLICTS OF LAW TO THE EXTENT THAT THE APPLICATION OF THE LAW OF ANOTHER JURISDICTION WOULD BE REQUIRED THEREBY.</w:t>
      </w:r>
    </w:p>
    <w:p>
      <w:pPr>
        <w:spacing w:after="0" w:line="175" w:lineRule="exact"/>
        <w:rPr>
          <w:rFonts w:ascii="Times New Roman" w:cs="Times New Roman" w:eastAsia="Times New Roman" w:hAnsi="Times New Roman"/>
          <w:sz w:val="18"/>
          <w:szCs w:val="18"/>
          <w:color w:val="auto"/>
        </w:rPr>
      </w:pPr>
    </w:p>
    <w:p>
      <w:pPr>
        <w:ind w:right="560" w:firstLine="987"/>
        <w:spacing w:after="0" w:line="266" w:lineRule="auto"/>
        <w:tabs>
          <w:tab w:leader="none" w:pos="1261"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Abbreviations. Customary abbreviations may be used in the name of a Holder or an assignee, such as: TEN COM (= tenants in common), TENANT (= tenants by the entireties), JT TEN (= joint tenants with right of survivorship and not as tenants in common), CUST (= Custodian), and U/G/M/A (= Uniform Gifts to Minors Act).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Issuer will furnish to any Holder upon written request and without charge a copy of the Indenture. Requests may be made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WESCO Distribution,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225 West Station Square Drive, Suite 700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Pittsburgh, Pennsylvania 15219-1122</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Facsimile: (412) 222-7566</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A-1-10</w:t>
      </w:r>
    </w:p>
    <w:p>
      <w:pPr>
        <w:sectPr>
          <w:pgSz w:w="11900" w:h="16838" w:orient="portrait"/>
          <w:cols w:equalWidth="0" w:num="1">
            <w:col w:w="10940"/>
          </w:cols>
          <w:pgMar w:left="440" w:top="270" w:right="51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6995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(Insert assignee’s social security or tax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6995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(Print or type name, address and zip code of assignee)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17145</wp:posOffset>
            </wp:positionV>
            <wp:extent cx="587184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to transfer this Note on the books of the Issuer. The Agent may substitute another to act for him.</w:t>
      </w:r>
    </w:p>
    <w:p>
      <w:pPr>
        <w:spacing w:after="0" w:line="252" w:lineRule="exact"/>
        <w:rPr>
          <w:sz w:val="20"/>
          <w:szCs w:val="20"/>
          <w:color w:val="auto"/>
        </w:rPr>
      </w:pPr>
    </w:p>
    <w:p>
      <w:pPr>
        <w:spacing w:after="0"/>
        <w:tabs>
          <w:tab w:leader="none" w:pos="4840" w:val="left"/>
        </w:tabs>
        <w:rPr>
          <w:sz w:val="20"/>
          <w:szCs w:val="20"/>
          <w:color w:val="auto"/>
        </w:rPr>
      </w:pPr>
      <w:r>
        <w:rPr>
          <w:rFonts w:ascii="Times New Roman" w:cs="Times New Roman" w:eastAsia="Times New Roman" w:hAnsi="Times New Roman"/>
          <w:sz w:val="18"/>
          <w:szCs w:val="18"/>
          <w:color w:val="auto"/>
        </w:rPr>
        <w:t xml:space="preserve">Date:                                            </w:t>
      </w:r>
      <w:r>
        <w:rPr>
          <w:sz w:val="20"/>
          <w:szCs w:val="20"/>
          <w:color w:val="auto"/>
        </w:rPr>
        <w:tab/>
      </w:r>
      <w:r>
        <w:rPr>
          <w:rFonts w:ascii="Times New Roman" w:cs="Times New Roman" w:eastAsia="Times New Roman" w:hAnsi="Times New Roman"/>
          <w:sz w:val="17"/>
          <w:szCs w:val="17"/>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3906520</wp:posOffset>
            </wp:positionH>
            <wp:positionV relativeFrom="paragraph">
              <wp:posOffset>17145</wp:posOffset>
            </wp:positionV>
            <wp:extent cx="30861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086100" cy="8255"/>
                    </a:xfrm>
                    <a:prstGeom prst="rect">
                      <a:avLst/>
                    </a:prstGeom>
                    <a:noFill/>
                  </pic:spPr>
                </pic:pic>
              </a:graphicData>
            </a:graphic>
          </wp:anchor>
        </w:drawing>
        <w:drawing>
          <wp:anchor simplePos="0" relativeHeight="251657728" behindDoc="1" locked="0" layoutInCell="0" allowOverlap="1">
            <wp:simplePos x="0" y="0"/>
            <wp:positionH relativeFrom="column">
              <wp:posOffset>273685</wp:posOffset>
            </wp:positionH>
            <wp:positionV relativeFrom="paragraph">
              <wp:posOffset>-7620</wp:posOffset>
            </wp:positionV>
            <wp:extent cx="171386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713865" cy="889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(Sign exactly as your name appears on the other side of this Note)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Signature Guarantee: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-7620</wp:posOffset>
            </wp:positionV>
            <wp:extent cx="171386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1386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25" w:lineRule="exact"/>
        <w:rPr>
          <w:sz w:val="20"/>
          <w:szCs w:val="20"/>
          <w:color w:val="auto"/>
        </w:rPr>
      </w:pPr>
    </w:p>
    <w:p>
      <w:pPr>
        <w:ind w:firstLine="991"/>
        <w:spacing w:after="0" w:line="289" w:lineRule="auto"/>
        <w:rPr>
          <w:sz w:val="20"/>
          <w:szCs w:val="20"/>
          <w:color w:val="auto"/>
        </w:rPr>
      </w:pPr>
      <w:r>
        <w:rPr>
          <w:rFonts w:ascii="Times New Roman" w:cs="Times New Roman" w:eastAsia="Times New Roman" w:hAnsi="Times New Roman"/>
          <w:sz w:val="17"/>
          <w:szCs w:val="17"/>
          <w:color w:val="auto"/>
        </w:rPr>
        <w:t>Signatures must be guaranteed by an “eligible guarantor institution” meeting the requirements of the Registrar, which requirements include membership or participation in the Security Transfer Agent Medallion Program (“STAMP”) or such other “signature guarantee program” as may be determined by the Registrar in addition to, or in substitution for, STAMP, all in accordance with the Securities Exchange Act of 1934, as amended.</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A-1-11</w:t>
      </w:r>
    </w:p>
    <w:p>
      <w:pPr>
        <w:sectPr>
          <w:pgSz w:w="11900" w:h="16838" w:orient="portrait"/>
          <w:cols w:equalWidth="0" w:num="1">
            <w:col w:w="11000"/>
          </w:cols>
          <w:pgMar w:left="440" w:top="270" w:right="45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 OF HOLDER TO ELECT PURCHASE</w:t>
      </w:r>
    </w:p>
    <w:p>
      <w:pPr>
        <w:spacing w:after="0" w:line="225"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If you want to elect to have all or any part of this Note purchased by the Issuer pursuant to Section 4.07 or Section 4.08 of the Indenture check the appropriate box:</w:t>
      </w:r>
    </w:p>
    <w:p>
      <w:pPr>
        <w:spacing w:after="0" w:line="26" w:lineRule="exact"/>
        <w:rPr>
          <w:sz w:val="20"/>
          <w:szCs w:val="20"/>
          <w:color w:val="auto"/>
        </w:rPr>
      </w:pPr>
    </w:p>
    <w:p>
      <w:pPr>
        <w:ind w:left="3280"/>
        <w:spacing w:after="0" w:line="207" w:lineRule="exact"/>
        <w:tabs>
          <w:tab w:leader="none" w:pos="5280" w:val="left"/>
          <w:tab w:leader="none" w:pos="584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Section 4.07</w:t>
      </w:r>
      <w:r>
        <w:rPr>
          <w:sz w:val="20"/>
          <w:szCs w:val="20"/>
          <w:color w:val="auto"/>
        </w:rPr>
        <w:tab/>
      </w:r>
      <w:r>
        <w:rPr>
          <w:rFonts w:ascii="Times New Roman" w:cs="Times New Roman" w:eastAsia="Times New Roman" w:hAnsi="Times New Roman"/>
          <w:sz w:val="18"/>
          <w:szCs w:val="18"/>
          <w:color w:val="auto"/>
        </w:rPr>
        <w:t xml:space="preserve">      </w:t>
      </w:r>
      <w:r>
        <w:rPr>
          <w:sz w:val="20"/>
          <w:szCs w:val="20"/>
          <w:color w:val="auto"/>
        </w:rPr>
        <w:tab/>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Section 4.08</w:t>
      </w:r>
    </w:p>
    <w:p>
      <w:pPr>
        <w:spacing w:after="0" w:line="266"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If you want to have only part of this Note purchased by the Issuer pursuant to Section 4.07 or Section 4.08 of the Indenture, state the amount you elect to have purchased: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17145</wp:posOffset>
            </wp:positionV>
            <wp:extent cx="26746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($2,000 or integral multiples of $1,000 in excess</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of $2,000;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 not</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purchased must be at least $2,000)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17145</wp:posOffset>
            </wp:positionV>
            <wp:extent cx="24860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4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5038090</wp:posOffset>
            </wp:positionH>
            <wp:positionV relativeFrom="paragraph">
              <wp:posOffset>17145</wp:posOffset>
            </wp:positionV>
            <wp:extent cx="195453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7"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(Sign exactly as your name appears on</w:t>
      </w:r>
    </w:p>
    <w:p>
      <w:pPr>
        <w:spacing w:after="0" w:line="23"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the face of this Note)</w:t>
      </w:r>
    </w:p>
    <w:p>
      <w:pPr>
        <w:spacing w:after="0" w:line="200" w:lineRule="exact"/>
        <w:rPr>
          <w:sz w:val="20"/>
          <w:szCs w:val="20"/>
          <w:color w:val="auto"/>
        </w:rPr>
      </w:pPr>
    </w:p>
    <w:p>
      <w:pPr>
        <w:spacing w:after="0" w:line="26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27946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25" w:lineRule="exact"/>
        <w:rPr>
          <w:sz w:val="20"/>
          <w:szCs w:val="20"/>
          <w:color w:val="auto"/>
        </w:rPr>
      </w:pPr>
    </w:p>
    <w:p>
      <w:pPr>
        <w:ind w:firstLine="991"/>
        <w:spacing w:after="0" w:line="289" w:lineRule="auto"/>
        <w:rPr>
          <w:sz w:val="20"/>
          <w:szCs w:val="20"/>
          <w:color w:val="auto"/>
        </w:rPr>
      </w:pPr>
      <w:r>
        <w:rPr>
          <w:rFonts w:ascii="Times New Roman" w:cs="Times New Roman" w:eastAsia="Times New Roman" w:hAnsi="Times New Roman"/>
          <w:sz w:val="17"/>
          <w:szCs w:val="17"/>
          <w:color w:val="auto"/>
        </w:rPr>
        <w:t>Signatures must be guaranteed by an “eligible guarantor institution” meeting the requirements of the Registrar, which requirements include membership or participation in the Security Transfer Agent Medallion Program (“STAMP”) or such other “signature guarantee program” as may be determined by the Registrar in addition to, or in substitution for, STAMP, all in accordance with the Securities Exchange Act of 1934, as amended.</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A-1-12</w:t>
      </w:r>
    </w:p>
    <w:p>
      <w:pPr>
        <w:sectPr>
          <w:pgSz w:w="11900" w:h="16838" w:orient="portrait"/>
          <w:cols w:equalWidth="0" w:num="1">
            <w:col w:w="11000"/>
          </w:cols>
          <w:pgMar w:left="440" w:top="270" w:right="45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w:t>
      </w:r>
      <w:r>
        <w:rPr>
          <w:rFonts w:ascii="Times New Roman" w:cs="Times New Roman" w:eastAsia="Times New Roman" w:hAnsi="Times New Roman"/>
          <w:sz w:val="14"/>
          <w:szCs w:val="14"/>
          <w:color w:val="auto"/>
        </w:rPr>
        <w:t>CHEDULE OF</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XCHANGES OF</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NTERESTS IN</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LOBAL</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OTE</w:t>
      </w:r>
      <w:r>
        <w:rPr>
          <w:rFonts w:ascii="Times New Roman" w:cs="Times New Roman" w:eastAsia="Times New Roman" w:hAnsi="Times New Roman"/>
          <w:sz w:val="22"/>
          <w:szCs w:val="22"/>
          <w:color w:val="auto"/>
          <w:vertAlign w:val="superscript"/>
        </w:rPr>
        <w:t>*</w:t>
      </w:r>
    </w:p>
    <w:p>
      <w:pPr>
        <w:spacing w:after="0" w:line="179"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The following exchanges of a part of this Global Note for an interest in another Global Note or for a Physical Note, or exchanges of a part of another Global Note or Physical Note for an interest in this Global Note, have been made:</w:t>
      </w:r>
    </w:p>
    <w:p>
      <w:pPr>
        <w:spacing w:after="0" w:line="172"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340" w:type="dxa"/>
            <w:vAlign w:val="bottom"/>
            <w:gridSpan w:val="2"/>
            <w:vMerge w:val="restart"/>
          </w:tcPr>
          <w:p>
            <w:pPr>
              <w:jc w:val="center"/>
              <w:ind w:right="1040"/>
              <w:spacing w:after="0"/>
              <w:rPr>
                <w:sz w:val="20"/>
                <w:szCs w:val="20"/>
                <w:color w:val="auto"/>
              </w:rPr>
            </w:pPr>
            <w:r>
              <w:rPr>
                <w:rFonts w:ascii="Times New Roman" w:cs="Times New Roman" w:eastAsia="Times New Roman" w:hAnsi="Times New Roman"/>
                <w:sz w:val="14"/>
                <w:szCs w:val="14"/>
                <w:color w:val="auto"/>
              </w:rPr>
              <w:t>Amount of decrease in</w:t>
            </w:r>
          </w:p>
        </w:tc>
        <w:tc>
          <w:tcPr>
            <w:tcW w:w="2320" w:type="dxa"/>
            <w:vAlign w:val="bottom"/>
            <w:gridSpan w:val="2"/>
            <w:vMerge w:val="restart"/>
          </w:tcPr>
          <w:p>
            <w:pPr>
              <w:jc w:val="center"/>
              <w:ind w:right="1040"/>
              <w:spacing w:after="0"/>
              <w:rPr>
                <w:sz w:val="20"/>
                <w:szCs w:val="20"/>
                <w:color w:val="auto"/>
              </w:rPr>
            </w:pPr>
            <w:r>
              <w:rPr>
                <w:rFonts w:ascii="Times New Roman" w:cs="Times New Roman" w:eastAsia="Times New Roman" w:hAnsi="Times New Roman"/>
                <w:sz w:val="14"/>
                <w:szCs w:val="14"/>
                <w:color w:val="auto"/>
              </w:rPr>
              <w:t>Amount of increase in</w:t>
            </w:r>
          </w:p>
        </w:tc>
        <w:tc>
          <w:tcPr>
            <w:tcW w:w="2140" w:type="dxa"/>
            <w:vAlign w:val="bottom"/>
            <w:gridSpan w:val="2"/>
          </w:tcPr>
          <w:p>
            <w:pPr>
              <w:jc w:val="center"/>
              <w:ind w:right="1040"/>
              <w:spacing w:after="0"/>
              <w:rPr>
                <w:sz w:val="20"/>
                <w:szCs w:val="20"/>
                <w:color w:val="auto"/>
              </w:rPr>
            </w:pPr>
            <w:r>
              <w:rPr>
                <w:rFonts w:ascii="Times New Roman" w:cs="Times New Roman" w:eastAsia="Times New Roman" w:hAnsi="Times New Roman"/>
                <w:sz w:val="14"/>
                <w:szCs w:val="14"/>
                <w:color w:val="auto"/>
              </w:rPr>
              <w:t>Principal Amount</w:t>
            </w: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340" w:type="dxa"/>
            <w:vAlign w:val="bottom"/>
            <w:gridSpan w:val="2"/>
            <w:vMerge w:val="continue"/>
          </w:tcPr>
          <w:p>
            <w:pPr>
              <w:spacing w:after="0"/>
              <w:rPr>
                <w:sz w:val="12"/>
                <w:szCs w:val="12"/>
                <w:color w:val="auto"/>
              </w:rPr>
            </w:pPr>
          </w:p>
        </w:tc>
        <w:tc>
          <w:tcPr>
            <w:tcW w:w="2320" w:type="dxa"/>
            <w:vAlign w:val="bottom"/>
            <w:gridSpan w:val="2"/>
            <w:vMerge w:val="continue"/>
          </w:tcPr>
          <w:p>
            <w:pPr>
              <w:spacing w:after="0"/>
              <w:rPr>
                <w:sz w:val="12"/>
                <w:szCs w:val="12"/>
                <w:color w:val="auto"/>
              </w:rPr>
            </w:pPr>
          </w:p>
        </w:tc>
        <w:tc>
          <w:tcPr>
            <w:tcW w:w="2140" w:type="dxa"/>
            <w:vAlign w:val="bottom"/>
            <w:gridSpan w:val="2"/>
          </w:tcPr>
          <w:p>
            <w:pPr>
              <w:jc w:val="center"/>
              <w:ind w:right="1040"/>
              <w:spacing w:after="0" w:line="149" w:lineRule="exact"/>
              <w:rPr>
                <w:sz w:val="20"/>
                <w:szCs w:val="20"/>
                <w:color w:val="auto"/>
              </w:rPr>
            </w:pPr>
            <w:r>
              <w:rPr>
                <w:rFonts w:ascii="Times New Roman" w:cs="Times New Roman" w:eastAsia="Times New Roman" w:hAnsi="Times New Roman"/>
                <w:sz w:val="14"/>
                <w:szCs w:val="14"/>
                <w:color w:val="auto"/>
              </w:rPr>
              <w:t>of this Global Note</w:t>
            </w: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340" w:type="dxa"/>
            <w:vAlign w:val="bottom"/>
            <w:gridSpan w:val="2"/>
          </w:tcPr>
          <w:p>
            <w:pPr>
              <w:jc w:val="center"/>
              <w:ind w:right="1040"/>
              <w:spacing w:after="0" w:line="149" w:lineRule="exact"/>
              <w:rPr>
                <w:sz w:val="20"/>
                <w:szCs w:val="20"/>
                <w:color w:val="auto"/>
              </w:rPr>
            </w:pPr>
            <w:r>
              <w:rPr>
                <w:rFonts w:ascii="Times New Roman" w:cs="Times New Roman" w:eastAsia="Times New Roman" w:hAnsi="Times New Roman"/>
                <w:sz w:val="14"/>
                <w:szCs w:val="14"/>
                <w:color w:val="auto"/>
              </w:rPr>
              <w:t>Principal Amount</w:t>
            </w:r>
          </w:p>
        </w:tc>
        <w:tc>
          <w:tcPr>
            <w:tcW w:w="2320" w:type="dxa"/>
            <w:vAlign w:val="bottom"/>
            <w:gridSpan w:val="2"/>
          </w:tcPr>
          <w:p>
            <w:pPr>
              <w:jc w:val="center"/>
              <w:ind w:right="1040"/>
              <w:spacing w:after="0" w:line="149" w:lineRule="exact"/>
              <w:rPr>
                <w:sz w:val="20"/>
                <w:szCs w:val="20"/>
                <w:color w:val="auto"/>
              </w:rPr>
            </w:pPr>
            <w:r>
              <w:rPr>
                <w:rFonts w:ascii="Times New Roman" w:cs="Times New Roman" w:eastAsia="Times New Roman" w:hAnsi="Times New Roman"/>
                <w:sz w:val="14"/>
                <w:szCs w:val="14"/>
                <w:color w:val="auto"/>
              </w:rPr>
              <w:t>Principal Amount</w:t>
            </w:r>
          </w:p>
        </w:tc>
        <w:tc>
          <w:tcPr>
            <w:tcW w:w="2140" w:type="dxa"/>
            <w:vAlign w:val="bottom"/>
            <w:gridSpan w:val="2"/>
          </w:tcPr>
          <w:p>
            <w:pPr>
              <w:jc w:val="center"/>
              <w:ind w:right="1040"/>
              <w:spacing w:after="0" w:line="149" w:lineRule="exact"/>
              <w:rPr>
                <w:sz w:val="20"/>
                <w:szCs w:val="20"/>
                <w:color w:val="auto"/>
              </w:rPr>
            </w:pPr>
            <w:r>
              <w:rPr>
                <w:rFonts w:ascii="Times New Roman" w:cs="Times New Roman" w:eastAsia="Times New Roman" w:hAnsi="Times New Roman"/>
                <w:sz w:val="14"/>
                <w:szCs w:val="14"/>
                <w:color w:val="auto"/>
              </w:rPr>
              <w:t>following such</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Signature of authorized</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Date of Exchange</w:t>
            </w:r>
          </w:p>
        </w:tc>
        <w:tc>
          <w:tcPr>
            <w:tcW w:w="1420" w:type="dxa"/>
            <w:vAlign w:val="bottom"/>
          </w:tcPr>
          <w:p>
            <w:pPr>
              <w:spacing w:after="0"/>
              <w:rPr>
                <w:sz w:val="12"/>
                <w:szCs w:val="12"/>
                <w:color w:val="auto"/>
              </w:rPr>
            </w:pPr>
          </w:p>
        </w:tc>
        <w:tc>
          <w:tcPr>
            <w:tcW w:w="2340" w:type="dxa"/>
            <w:vAlign w:val="bottom"/>
            <w:gridSpan w:val="2"/>
          </w:tcPr>
          <w:p>
            <w:pPr>
              <w:jc w:val="center"/>
              <w:ind w:right="1060"/>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2320" w:type="dxa"/>
            <w:vAlign w:val="bottom"/>
            <w:gridSpan w:val="2"/>
          </w:tcPr>
          <w:p>
            <w:pPr>
              <w:jc w:val="center"/>
              <w:ind w:right="1040"/>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2140" w:type="dxa"/>
            <w:vAlign w:val="bottom"/>
            <w:gridSpan w:val="2"/>
          </w:tcPr>
          <w:p>
            <w:pPr>
              <w:jc w:val="center"/>
              <w:ind w:right="1040"/>
              <w:spacing w:after="0" w:line="149" w:lineRule="exact"/>
              <w:rPr>
                <w:sz w:val="20"/>
                <w:szCs w:val="20"/>
                <w:color w:val="auto"/>
              </w:rPr>
            </w:pPr>
            <w:r>
              <w:rPr>
                <w:rFonts w:ascii="Times New Roman" w:cs="Times New Roman" w:eastAsia="Times New Roman" w:hAnsi="Times New Roman"/>
                <w:sz w:val="14"/>
                <w:szCs w:val="14"/>
                <w:color w:val="auto"/>
              </w:rPr>
              <w:t>decrease</w:t>
            </w: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40" w:type="dxa"/>
            <w:vAlign w:val="bottom"/>
            <w:tcBorders>
              <w:bottom w:val="single" w:sz="8" w:color="auto"/>
            </w:tcBorders>
            <w:vMerge w:val="continue"/>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Borders>
              <w:bottom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color w:val="auto"/>
              </w:rPr>
              <w:t>this Global Note</w:t>
            </w:r>
          </w:p>
        </w:tc>
        <w:tc>
          <w:tcPr>
            <w:tcW w:w="1040" w:type="dxa"/>
            <w:vAlign w:val="bottom"/>
          </w:tcPr>
          <w:p>
            <w:pPr>
              <w:spacing w:after="0"/>
              <w:rPr>
                <w:sz w:val="14"/>
                <w:szCs w:val="14"/>
                <w:color w:val="auto"/>
              </w:rPr>
            </w:pPr>
          </w:p>
        </w:tc>
        <w:tc>
          <w:tcPr>
            <w:tcW w:w="1280" w:type="dxa"/>
            <w:vAlign w:val="bottom"/>
            <w:tcBorders>
              <w:bottom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color w:val="auto"/>
              </w:rPr>
              <w:t>this Global Note</w:t>
            </w:r>
          </w:p>
        </w:tc>
        <w:tc>
          <w:tcPr>
            <w:tcW w:w="1040" w:type="dxa"/>
            <w:vAlign w:val="bottom"/>
          </w:tcPr>
          <w:p>
            <w:pPr>
              <w:spacing w:after="0"/>
              <w:rPr>
                <w:sz w:val="14"/>
                <w:szCs w:val="14"/>
                <w:color w:val="auto"/>
              </w:rPr>
            </w:pPr>
          </w:p>
        </w:tc>
        <w:tc>
          <w:tcPr>
            <w:tcW w:w="1100" w:type="dxa"/>
            <w:vAlign w:val="bottom"/>
            <w:tcBorders>
              <w:bottom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color w:val="auto"/>
              </w:rPr>
              <w:t>(or increase)</w:t>
            </w:r>
          </w:p>
        </w:tc>
        <w:tc>
          <w:tcPr>
            <w:tcW w:w="1040" w:type="dxa"/>
            <w:vAlign w:val="bottom"/>
          </w:tcPr>
          <w:p>
            <w:pPr>
              <w:spacing w:after="0"/>
              <w:rPr>
                <w:sz w:val="14"/>
                <w:szCs w:val="14"/>
                <w:color w:val="auto"/>
              </w:rPr>
            </w:pPr>
          </w:p>
        </w:tc>
        <w:tc>
          <w:tcPr>
            <w:tcW w:w="1380" w:type="dxa"/>
            <w:vAlign w:val="bottom"/>
            <w:tcBorders>
              <w:bottom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color w:val="auto"/>
              </w:rPr>
              <w:t>signatory of Trustee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325755</wp:posOffset>
            </wp:positionV>
            <wp:extent cx="7715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in Global Securities only.</w:t>
      </w:r>
    </w:p>
    <w:p>
      <w:pPr>
        <w:spacing w:after="0" w:line="158" w:lineRule="exact"/>
        <w:rPr>
          <w:sz w:val="20"/>
          <w:szCs w:val="20"/>
          <w:color w:val="auto"/>
        </w:rPr>
      </w:pPr>
    </w:p>
    <w:p>
      <w:pPr>
        <w:sectPr>
          <w:pgSz w:w="11900" w:h="16838" w:orient="portrait"/>
          <w:cols w:equalWidth="0" w:num="2">
            <w:col w:w="60" w:space="360"/>
            <w:col w:w="10600"/>
          </w:cols>
          <w:pgMar w:left="440" w:top="270"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7"/>
          <w:szCs w:val="17"/>
          <w:color w:val="auto"/>
        </w:rPr>
        <w:t>A-1-13</w:t>
      </w:r>
    </w:p>
    <w:p>
      <w:pPr>
        <w:sectPr>
          <w:pgSz w:w="11900" w:h="16838" w:orient="portrait"/>
          <w:cols w:equalWidth="0" w:num="1">
            <w:col w:w="11020"/>
          </w:cols>
          <w:pgMar w:left="440" w:top="270" w:right="439" w:bottom="1440" w:gutter="0" w:footer="0" w:header="0"/>
          <w:type w:val="continuous"/>
        </w:sectPr>
      </w:pPr>
    </w:p>
    <w:bookmarkStart w:id="115" w:name="page116"/>
    <w:bookmarkEnd w:id="115"/>
    <w:tbl>
      <w:tblPr>
        <w:tblLayout w:type="fixed"/>
        <w:tblInd w:w="0" w:type="dxa"/>
        <w:tblCellMar>
          <w:top w:w="0" w:type="dxa"/>
          <w:left w:w="0" w:type="dxa"/>
          <w:bottom w:w="0" w:type="dxa"/>
          <w:right w:w="0" w:type="dxa"/>
        </w:tblCellMar>
      </w:tblPr>
      <w:tr>
        <w:trPr>
          <w:trHeight w:val="207"/>
        </w:trPr>
        <w:tc>
          <w:tcPr>
            <w:tcW w:w="2340" w:type="dxa"/>
            <w:vAlign w:val="bottom"/>
          </w:tcPr>
          <w:p>
            <w:pPr>
              <w:spacing w:after="0"/>
              <w:rPr>
                <w:sz w:val="17"/>
                <w:szCs w:val="17"/>
                <w:color w:val="auto"/>
              </w:rPr>
            </w:pPr>
          </w:p>
        </w:tc>
        <w:tc>
          <w:tcPr>
            <w:tcW w:w="762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EXHIBIT A-2</w:t>
            </w:r>
          </w:p>
        </w:tc>
      </w:tr>
      <w:tr>
        <w:trPr>
          <w:trHeight w:val="453"/>
        </w:trPr>
        <w:tc>
          <w:tcPr>
            <w:tcW w:w="2340" w:type="dxa"/>
            <w:vAlign w:val="bottom"/>
          </w:tcPr>
          <w:p>
            <w:pPr>
              <w:spacing w:after="0"/>
              <w:rPr>
                <w:sz w:val="24"/>
                <w:szCs w:val="24"/>
                <w:color w:val="auto"/>
              </w:rPr>
            </w:pPr>
          </w:p>
        </w:tc>
        <w:tc>
          <w:tcPr>
            <w:tcW w:w="8680" w:type="dxa"/>
            <w:vAlign w:val="bottom"/>
            <w:gridSpan w:val="2"/>
          </w:tcPr>
          <w:p>
            <w:pPr>
              <w:jc w:val="center"/>
              <w:ind w:right="2250"/>
              <w:spacing w:after="0"/>
              <w:rPr>
                <w:sz w:val="20"/>
                <w:szCs w:val="20"/>
                <w:color w:val="auto"/>
              </w:rPr>
            </w:pPr>
            <w:r>
              <w:rPr>
                <w:rFonts w:ascii="Times New Roman" w:cs="Times New Roman" w:eastAsia="Times New Roman" w:hAnsi="Times New Roman"/>
                <w:sz w:val="18"/>
                <w:szCs w:val="18"/>
                <w:color w:val="auto"/>
                <w:w w:val="99"/>
              </w:rPr>
              <w:t>[FORM OF SENIOR NOTE DUE 2032]</w:t>
            </w:r>
          </w:p>
        </w:tc>
      </w:tr>
      <w:tr>
        <w:trPr>
          <w:trHeight w:val="324"/>
        </w:trPr>
        <w:tc>
          <w:tcPr>
            <w:tcW w:w="2340" w:type="dxa"/>
            <w:vAlign w:val="bottom"/>
          </w:tcPr>
          <w:p>
            <w:pPr>
              <w:spacing w:after="0"/>
              <w:rPr>
                <w:sz w:val="24"/>
                <w:szCs w:val="24"/>
                <w:color w:val="auto"/>
              </w:rPr>
            </w:pPr>
          </w:p>
        </w:tc>
        <w:tc>
          <w:tcPr>
            <w:tcW w:w="8680" w:type="dxa"/>
            <w:vAlign w:val="bottom"/>
            <w:gridSpan w:val="2"/>
          </w:tcPr>
          <w:p>
            <w:pPr>
              <w:jc w:val="center"/>
              <w:ind w:right="2270"/>
              <w:spacing w:after="0"/>
              <w:rPr>
                <w:sz w:val="20"/>
                <w:szCs w:val="20"/>
                <w:color w:val="auto"/>
              </w:rPr>
            </w:pPr>
            <w:r>
              <w:rPr>
                <w:rFonts w:ascii="Times New Roman" w:cs="Times New Roman" w:eastAsia="Times New Roman" w:hAnsi="Times New Roman"/>
                <w:sz w:val="18"/>
                <w:szCs w:val="18"/>
                <w:b w:val="1"/>
                <w:bCs w:val="1"/>
                <w:color w:val="auto"/>
              </w:rPr>
              <w:t>WESCO DISTRIBUTION, INC.</w:t>
            </w:r>
          </w:p>
        </w:tc>
      </w:tr>
      <w:tr>
        <w:trPr>
          <w:trHeight w:val="324"/>
        </w:trPr>
        <w:tc>
          <w:tcPr>
            <w:tcW w:w="2340" w:type="dxa"/>
            <w:vAlign w:val="bottom"/>
          </w:tcPr>
          <w:p>
            <w:pPr>
              <w:spacing w:after="0"/>
              <w:rPr>
                <w:sz w:val="24"/>
                <w:szCs w:val="24"/>
                <w:color w:val="auto"/>
              </w:rPr>
            </w:pPr>
          </w:p>
        </w:tc>
        <w:tc>
          <w:tcPr>
            <w:tcW w:w="8680" w:type="dxa"/>
            <w:vAlign w:val="bottom"/>
            <w:gridSpan w:val="2"/>
          </w:tcPr>
          <w:p>
            <w:pPr>
              <w:jc w:val="center"/>
              <w:ind w:right="2270"/>
              <w:spacing w:after="0"/>
              <w:rPr>
                <w:sz w:val="20"/>
                <w:szCs w:val="20"/>
                <w:color w:val="auto"/>
              </w:rPr>
            </w:pPr>
            <w:r>
              <w:rPr>
                <w:rFonts w:ascii="Times New Roman" w:cs="Times New Roman" w:eastAsia="Times New Roman" w:hAnsi="Times New Roman"/>
                <w:sz w:val="18"/>
                <w:szCs w:val="18"/>
                <w:color w:val="auto"/>
              </w:rPr>
              <w:t>6.625% SENIOR NOTE DUE 2032</w:t>
            </w:r>
          </w:p>
        </w:tc>
      </w:tr>
      <w:tr>
        <w:trPr>
          <w:trHeight w:val="324"/>
        </w:trPr>
        <w:tc>
          <w:tcPr>
            <w:tcW w:w="2340" w:type="dxa"/>
            <w:vAlign w:val="bottom"/>
          </w:tcPr>
          <w:p>
            <w:pPr>
              <w:spacing w:after="0"/>
              <w:rPr>
                <w:sz w:val="24"/>
                <w:szCs w:val="24"/>
                <w:color w:val="auto"/>
              </w:rPr>
            </w:pPr>
          </w:p>
        </w:tc>
        <w:tc>
          <w:tcPr>
            <w:tcW w:w="8680" w:type="dxa"/>
            <w:vAlign w:val="bottom"/>
            <w:gridSpan w:val="2"/>
          </w:tcPr>
          <w:p>
            <w:pPr>
              <w:jc w:val="center"/>
              <w:ind w:right="225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b w:val="1"/>
                <w:bCs w:val="1"/>
                <w:i w:val="1"/>
                <w:iCs w:val="1"/>
                <w:color w:val="auto"/>
                <w:w w:val="99"/>
              </w:rPr>
              <w:t>Insert Global Note Legend</w:t>
            </w:r>
            <w:r>
              <w:rPr>
                <w:rFonts w:ascii="Times New Roman" w:cs="Times New Roman" w:eastAsia="Times New Roman" w:hAnsi="Times New Roman"/>
                <w:sz w:val="18"/>
                <w:szCs w:val="18"/>
                <w:b w:val="1"/>
                <w:bCs w:val="1"/>
                <w:color w:val="auto"/>
                <w:w w:val="99"/>
              </w:rPr>
              <w:t xml:space="preserve">, </w:t>
            </w:r>
            <w:r>
              <w:rPr>
                <w:rFonts w:ascii="Times New Roman" w:cs="Times New Roman" w:eastAsia="Times New Roman" w:hAnsi="Times New Roman"/>
                <w:sz w:val="18"/>
                <w:szCs w:val="18"/>
                <w:b w:val="1"/>
                <w:bCs w:val="1"/>
                <w:i w:val="1"/>
                <w:iCs w:val="1"/>
                <w:color w:val="auto"/>
                <w:w w:val="99"/>
              </w:rPr>
              <w:t>if applicable</w:t>
            </w:r>
            <w:r>
              <w:rPr>
                <w:rFonts w:ascii="Times New Roman" w:cs="Times New Roman" w:eastAsia="Times New Roman" w:hAnsi="Times New Roman"/>
                <w:sz w:val="18"/>
                <w:szCs w:val="18"/>
                <w:b w:val="1"/>
                <w:bCs w:val="1"/>
                <w:color w:val="auto"/>
                <w:w w:val="99"/>
              </w:rPr>
              <w:t>]</w:t>
            </w:r>
          </w:p>
        </w:tc>
      </w:tr>
      <w:tr>
        <w:trPr>
          <w:trHeight w:val="324"/>
        </w:trPr>
        <w:tc>
          <w:tcPr>
            <w:tcW w:w="2340" w:type="dxa"/>
            <w:vAlign w:val="bottom"/>
          </w:tcPr>
          <w:p>
            <w:pPr>
              <w:spacing w:after="0"/>
              <w:rPr>
                <w:sz w:val="24"/>
                <w:szCs w:val="24"/>
                <w:color w:val="auto"/>
              </w:rPr>
            </w:pPr>
          </w:p>
        </w:tc>
        <w:tc>
          <w:tcPr>
            <w:tcW w:w="8680" w:type="dxa"/>
            <w:vAlign w:val="bottom"/>
            <w:gridSpan w:val="2"/>
          </w:tcPr>
          <w:p>
            <w:pPr>
              <w:jc w:val="center"/>
              <w:ind w:right="227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b w:val="1"/>
                <w:bCs w:val="1"/>
                <w:i w:val="1"/>
                <w:iCs w:val="1"/>
                <w:color w:val="auto"/>
                <w:w w:val="99"/>
              </w:rPr>
              <w:t>Insert Private Placement Legend, if applicable</w:t>
            </w:r>
            <w:r>
              <w:rPr>
                <w:rFonts w:ascii="Times New Roman" w:cs="Times New Roman" w:eastAsia="Times New Roman" w:hAnsi="Times New Roman"/>
                <w:sz w:val="18"/>
                <w:szCs w:val="18"/>
                <w:b w:val="1"/>
                <w:bCs w:val="1"/>
                <w:color w:val="auto"/>
                <w:w w:val="99"/>
              </w:rPr>
              <w:t>]</w:t>
            </w:r>
          </w:p>
        </w:tc>
      </w:tr>
      <w:tr>
        <w:trPr>
          <w:trHeight w:val="441"/>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No. _______</w:t>
            </w:r>
          </w:p>
        </w:tc>
        <w:tc>
          <w:tcPr>
            <w:tcW w:w="8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CUSIP No. ____________</w:t>
            </w:r>
          </w:p>
        </w:tc>
      </w:tr>
      <w:tr>
        <w:trPr>
          <w:trHeight w:val="216"/>
        </w:trPr>
        <w:tc>
          <w:tcPr>
            <w:tcW w:w="2340" w:type="dxa"/>
            <w:vAlign w:val="bottom"/>
          </w:tcPr>
          <w:p>
            <w:pPr>
              <w:spacing w:after="0"/>
              <w:rPr>
                <w:sz w:val="18"/>
                <w:szCs w:val="18"/>
                <w:color w:val="auto"/>
              </w:rPr>
            </w:pPr>
          </w:p>
        </w:tc>
        <w:tc>
          <w:tcPr>
            <w:tcW w:w="8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ISIN No. ____________</w:t>
            </w:r>
          </w:p>
        </w:tc>
      </w:tr>
      <w:tr>
        <w:trPr>
          <w:trHeight w:val="234"/>
        </w:trPr>
        <w:tc>
          <w:tcPr>
            <w:tcW w:w="2340" w:type="dxa"/>
            <w:vAlign w:val="bottom"/>
          </w:tcPr>
          <w:p>
            <w:pPr>
              <w:spacing w:after="0"/>
              <w:rPr>
                <w:sz w:val="20"/>
                <w:szCs w:val="20"/>
                <w:color w:val="auto"/>
              </w:rPr>
            </w:pPr>
          </w:p>
        </w:tc>
        <w:tc>
          <w:tcPr>
            <w:tcW w:w="8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$____________</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color w:val="auto"/>
        </w:rPr>
        <w:t>WESCO DISTRIBUTION, INC., a Delaware corporation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for value received promises to pay to ___________ or registered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assigns the principal sum of ______________ (or such other principal amount as shall be set forth in the Schedule of Exchanges of Interests in Global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attached hereto), on March 15, 2032.</w:t>
      </w:r>
    </w:p>
    <w:p>
      <w:pPr>
        <w:spacing w:after="0" w:line="234"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color w:val="auto"/>
        </w:rPr>
        <w:t>Interest Payment Dates:</w:t>
        <w:tab/>
        <w:t>March 15 and September 15, commencing on September 15, 2024.</w:t>
      </w:r>
    </w:p>
    <w:p>
      <w:pPr>
        <w:spacing w:after="0" w:line="27"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8"/>
          <w:szCs w:val="18"/>
          <w:color w:val="auto"/>
        </w:rPr>
        <w:t>Record Dates:</w:t>
      </w:r>
      <w:r>
        <w:rPr>
          <w:sz w:val="20"/>
          <w:szCs w:val="20"/>
          <w:color w:val="auto"/>
        </w:rPr>
        <w:tab/>
      </w:r>
      <w:r>
        <w:rPr>
          <w:rFonts w:ascii="Times New Roman" w:cs="Times New Roman" w:eastAsia="Times New Roman" w:hAnsi="Times New Roman"/>
          <w:sz w:val="18"/>
          <w:szCs w:val="18"/>
          <w:color w:val="auto"/>
        </w:rPr>
        <w:t>March 1 and September 1 (whether or not a Business Day).</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Reference is made to the further provisions of this Note contained herein, which will for all purposes have the same effect as if set forth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place.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w:t>
      </w:r>
    </w:p>
    <w:p>
      <w:pPr>
        <w:sectPr>
          <w:pgSz w:w="11900" w:h="16838" w:orient="portrait"/>
          <w:cols w:equalWidth="0" w:num="1">
            <w:col w:w="11020"/>
          </w:cols>
          <w:pgMar w:left="440" w:top="256" w:right="4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Issuer has caused this Note to be signed manually or by facsimile by a duly authorized officer.</w:t>
      </w:r>
    </w:p>
    <w:p>
      <w:pPr>
        <w:spacing w:after="0" w:line="2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WESCO DISTRIBUTION,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A-2-2</w:t>
      </w:r>
    </w:p>
    <w:p>
      <w:pPr>
        <w:sectPr>
          <w:pgSz w:w="11900" w:h="16838" w:orient="portrait"/>
          <w:cols w:equalWidth="0" w:num="1">
            <w:col w:w="9060"/>
          </w:cols>
          <w:pgMar w:left="1420" w:top="270" w:right="1419" w:bottom="1440" w:gutter="0" w:footer="0" w:header="0"/>
        </w:sectPr>
      </w:pPr>
    </w:p>
    <w:bookmarkStart w:id="117" w:name="page118"/>
    <w:bookmarkEnd w:id="117"/>
    <w:p>
      <w:pPr>
        <w:ind w:left="4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 of Authentication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is one of the 6.625% Senior Notes due 2032 referred to in the within-mentioned Indenture.</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U.S. BANK TRUST COMPANY, NATIONAL</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ASSOCIATION,</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Trustee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_____________________</w:t>
      </w:r>
    </w:p>
    <w:p>
      <w:pPr>
        <w:spacing w:after="0" w:line="15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A-2-3</w:t>
      </w:r>
    </w:p>
    <w:p>
      <w:pPr>
        <w:sectPr>
          <w:pgSz w:w="11900" w:h="16838" w:orient="portrait"/>
          <w:cols w:equalWidth="0" w:num="1">
            <w:col w:w="10019"/>
          </w:cols>
          <w:pgMar w:left="440" w:top="270" w:right="1440"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OF REVERSE OF SENIOR NOTE DUE 2032]</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DISTRIBUTION, INC.</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6.625% SENIOR NOTE DUE 2032</w:t>
      </w:r>
    </w:p>
    <w:p>
      <w:pPr>
        <w:spacing w:after="0" w:line="225"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Capitalized and certain other terms used herein and not otherwise defined have the meanings set forth in the Indenture referred to below unless otherwise indicated.</w:t>
      </w:r>
    </w:p>
    <w:p>
      <w:pPr>
        <w:spacing w:after="0" w:line="162" w:lineRule="exact"/>
        <w:rPr>
          <w:sz w:val="20"/>
          <w:szCs w:val="20"/>
          <w:color w:val="auto"/>
        </w:rPr>
      </w:pPr>
    </w:p>
    <w:p>
      <w:pPr>
        <w:ind w:right="100" w:firstLine="987"/>
        <w:spacing w:after="0" w:line="255" w:lineRule="auto"/>
        <w:tabs>
          <w:tab w:leader="none" w:pos="1171"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WESCO DISTRIBUTION, INC., a Delaware corporation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promises to pay interest on the principal amount set forth on the face hereof of this 6.625% Senior Note due 2032 (this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and, together with any other 6.625% Senior Notes due 2032, the “</w:t>
      </w:r>
      <w:r>
        <w:rPr>
          <w:rFonts w:ascii="Times New Roman" w:cs="Times New Roman" w:eastAsia="Times New Roman" w:hAnsi="Times New Roman"/>
          <w:sz w:val="18"/>
          <w:szCs w:val="18"/>
          <w:u w:val="single" w:color="auto"/>
          <w:color w:val="auto"/>
        </w:rPr>
        <w:t>8-Year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at a rate of 6.625% per annum. Interest hereon will accrue from and including the most recent date to which interest has been paid or, if no interest has been paid, from and including March 7, 2024 to but excluding the date on which interest is paid. Interest shall be payable in arrears on each March 15 and September 15, commencing September 15, 2024. Interest will be computed on the basis of a 360-day year of twelve 30-day months and actual days elapsed. The Issuer shall pay interest on overdue principal and on overdue interest (to the full extent permitted by law) at the rate borne by the 8-Year Notes.</w:t>
      </w:r>
    </w:p>
    <w:p>
      <w:pPr>
        <w:spacing w:after="0" w:line="188" w:lineRule="exact"/>
        <w:rPr>
          <w:rFonts w:ascii="Times New Roman" w:cs="Times New Roman" w:eastAsia="Times New Roman" w:hAnsi="Times New Roman"/>
          <w:sz w:val="18"/>
          <w:szCs w:val="18"/>
          <w:color w:val="auto"/>
        </w:rPr>
      </w:pPr>
    </w:p>
    <w:p>
      <w:pPr>
        <w:ind w:firstLine="987"/>
        <w:spacing w:after="0" w:line="261" w:lineRule="auto"/>
        <w:tabs>
          <w:tab w:leader="none" w:pos="1171"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Payment</w:t>
      </w:r>
      <w:r>
        <w:rPr>
          <w:rFonts w:ascii="Times New Roman" w:cs="Times New Roman" w:eastAsia="Times New Roman" w:hAnsi="Times New Roman"/>
          <w:sz w:val="18"/>
          <w:szCs w:val="18"/>
          <w:color w:val="auto"/>
        </w:rPr>
        <w:t>. The Issuer will pay interest hereon (except defaulted interest) to the Persons who are registered Holders at the close of business on March 1 or September 1 preceding the Interest Payment Date (whether or not a Business Day). Holders must surrender the 8-Year Notes to a Paying Agent to collect principal payments. The Issuer will pay principal and interest in U.S. Dollars. Interest may be paid by check mailed to the Holder entitled thereto at the address indicated on the register maintained by the Registrar for the 8-Year Notes.</w:t>
      </w:r>
    </w:p>
    <w:p>
      <w:pPr>
        <w:spacing w:after="0" w:line="179" w:lineRule="exact"/>
        <w:rPr>
          <w:rFonts w:ascii="Times New Roman" w:cs="Times New Roman" w:eastAsia="Times New Roman" w:hAnsi="Times New Roman"/>
          <w:sz w:val="18"/>
          <w:szCs w:val="18"/>
          <w:color w:val="auto"/>
        </w:rPr>
      </w:pPr>
    </w:p>
    <w:p>
      <w:pPr>
        <w:ind w:right="240" w:firstLine="987"/>
        <w:spacing w:after="0" w:line="266" w:lineRule="auto"/>
        <w:tabs>
          <w:tab w:leader="none" w:pos="1171"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Paying Agent and Registrar</w:t>
      </w:r>
      <w:r>
        <w:rPr>
          <w:rFonts w:ascii="Times New Roman" w:cs="Times New Roman" w:eastAsia="Times New Roman" w:hAnsi="Times New Roman"/>
          <w:sz w:val="18"/>
          <w:szCs w:val="18"/>
          <w:color w:val="auto"/>
        </w:rPr>
        <w:t>. Initially, U.S. Bank Trust Company, National Association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will act as a Paying Agent and Registrar. The Issuer may change any Paying Agent or Registrar without notice. The Issuer or any Affiliate thereof may act as Paying Agent or Registrar.</w:t>
      </w:r>
    </w:p>
    <w:p>
      <w:pPr>
        <w:spacing w:after="0" w:line="175" w:lineRule="exact"/>
        <w:rPr>
          <w:rFonts w:ascii="Times New Roman" w:cs="Times New Roman" w:eastAsia="Times New Roman" w:hAnsi="Times New Roman"/>
          <w:sz w:val="18"/>
          <w:szCs w:val="18"/>
          <w:color w:val="auto"/>
        </w:rPr>
      </w:pPr>
    </w:p>
    <w:p>
      <w:pPr>
        <w:ind w:right="140" w:firstLine="987"/>
        <w:spacing w:after="0" w:line="261" w:lineRule="auto"/>
        <w:tabs>
          <w:tab w:leader="none" w:pos="1171"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The Issuer issued the 8-Year Notes under an Indenture dated as of March 7, 2024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among the Issuer, the Parent Guarantor, the Subsidiary Guarantor and the Trustee. This is one of an issue of 8-Year Notes of the Issuer issued, or to be issued, under the Indenture. The terms of the 8-Year Notes include those stated in the Indenture. The 8-Year Notes are subject to all such terms, and Holders are referred to the Indenture for a statement of them.</w:t>
      </w:r>
    </w:p>
    <w:p>
      <w:pPr>
        <w:spacing w:after="0" w:line="179"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At any time prior to March 15, 2027, the Issuer may on any one or more occasions redeem up to (i) 35% of the original aggregate principal amount of the 8-Year Notes issued under the Indenture and (ii) all or a portion of any applicable Additional Notes issued after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A-2-4</w:t>
      </w:r>
    </w:p>
    <w:p>
      <w:pPr>
        <w:sectPr>
          <w:pgSz w:w="11900" w:h="16838" w:orient="portrait"/>
          <w:cols w:equalWidth="0" w:num="1">
            <w:col w:w="11000"/>
          </w:cols>
          <w:pgMar w:left="440" w:top="270" w:right="459" w:bottom="1440" w:gutter="0" w:footer="0" w:header="0"/>
        </w:sectPr>
      </w:pPr>
    </w:p>
    <w:bookmarkStart w:id="119" w:name="page120"/>
    <w:bookmarkEnd w:id="119"/>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Issue Date, upon not less than 10 nor more than 60 days’ notice, at a redemption price equal to 106.625% of the principal amount of the 8-Year Notes redeemed, plus accrued and unpaid interest, if any, to but excluding the redemption date, with an amount of cash no greater than the cash proceeds (net of underwriting discounts and commissions) of all Equity Offerings since the Issue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68" w:lineRule="exact"/>
        <w:rPr>
          <w:sz w:val="20"/>
          <w:szCs w:val="20"/>
          <w:color w:val="auto"/>
        </w:rPr>
      </w:pPr>
    </w:p>
    <w:p>
      <w:pPr>
        <w:ind w:left="440" w:right="340" w:firstLine="419"/>
        <w:spacing w:after="0" w:line="266" w:lineRule="auto"/>
        <w:tabs>
          <w:tab w:leader="none" w:pos="111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65% (calculated after giving effect to any issuance of applicable Additional Notes) of the aggregate principal amount of the 8-Year Notes issued under the Indenture (excluding the 8-Year Notes held by the Issuer and its Subsidiaries) remains outstanding immediately after the occurrence of such redemption; and</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occurs within 180 days of the date of the closing of such Equity Offering.</w:t>
      </w:r>
    </w:p>
    <w:p>
      <w:pPr>
        <w:spacing w:after="0" w:line="225" w:lineRule="exact"/>
        <w:rPr>
          <w:sz w:val="20"/>
          <w:szCs w:val="20"/>
          <w:color w:val="auto"/>
        </w:rPr>
      </w:pPr>
    </w:p>
    <w:p>
      <w:pPr>
        <w:jc w:val="both"/>
        <w:ind w:right="60" w:firstLine="991"/>
        <w:spacing w:after="0" w:line="258" w:lineRule="auto"/>
        <w:rPr>
          <w:sz w:val="20"/>
          <w:szCs w:val="20"/>
          <w:color w:val="auto"/>
        </w:rPr>
      </w:pPr>
      <w:r>
        <w:rPr>
          <w:rFonts w:ascii="Times New Roman" w:cs="Times New Roman" w:eastAsia="Times New Roman" w:hAnsi="Times New Roman"/>
          <w:sz w:val="18"/>
          <w:szCs w:val="18"/>
          <w:color w:val="auto"/>
        </w:rPr>
        <w:t>In addition, prior to March 15, 2027, the Issuer may redeem the 8-Year Notes, in whole or in part, at a redemption price equal to 100% of the principal amount thereof, plus accrued and unpaid interest, if any, to but excluding the applicable 8-Year Notes Make-Whole Redemption Date, plus the 8-Year Notes Make-Whole Premium. The Issuer will notify the Trustee of the 8-Year Notes Make-Whole Premium by delivering to the Trustee, on or before the applicable 8-Year Notes Make-Whole Redemption Date, an Officer’s Certificate showing the calculation thereof in reasonable detail, and the Trustee will not be responsible for verifying or otherwise for such calculation.</w:t>
      </w:r>
    </w:p>
    <w:p>
      <w:pPr>
        <w:spacing w:after="0" w:line="183"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On or after March 15, 2027, the Issuer may on any one or more occasions redeem all or a part of the 8-Year Notes, upon not less than 10 nor more than 60 days’ notice, at the redemption prices (expressed as percentages of principal amount) set forth below, plus accrued and unpaid interest, if any, on the 8-Year Notes redeemed, to but excluding the applicable Redemption Date, if redeemed during the 12-month period beginning on March 15 of the years indicated below:</w:t>
      </w:r>
    </w:p>
    <w:p>
      <w:pPr>
        <w:spacing w:after="0" w:line="200" w:lineRule="exact"/>
        <w:rPr>
          <w:sz w:val="20"/>
          <w:szCs w:val="20"/>
          <w:color w:val="auto"/>
        </w:rPr>
      </w:pPr>
    </w:p>
    <w:tbl>
      <w:tblPr>
        <w:tblLayout w:type="fixed"/>
        <w:tblInd w:w="1760" w:type="dxa"/>
        <w:tblCellMar>
          <w:top w:w="0" w:type="dxa"/>
          <w:left w:w="0" w:type="dxa"/>
          <w:bottom w:w="0" w:type="dxa"/>
          <w:right w:w="0" w:type="dxa"/>
        </w:tblCellMar>
      </w:tblPr>
      <w:tr>
        <w:trPr>
          <w:trHeight w:val="173"/>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630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20"/>
        </w:trPr>
        <w:tc>
          <w:tcPr>
            <w:tcW w:w="66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00" w:type="dxa"/>
            <w:vAlign w:val="bottom"/>
            <w:gridSpan w:val="2"/>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103.313%</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2028</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101.657%</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 and thereafter</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00" w:firstLine="991"/>
        <w:spacing w:after="0" w:line="255" w:lineRule="auto"/>
        <w:rPr>
          <w:sz w:val="20"/>
          <w:szCs w:val="20"/>
          <w:color w:val="auto"/>
        </w:rPr>
      </w:pPr>
      <w:r>
        <w:rPr>
          <w:rFonts w:ascii="Times New Roman" w:cs="Times New Roman" w:eastAsia="Times New Roman" w:hAnsi="Times New Roman"/>
          <w:sz w:val="18"/>
          <w:szCs w:val="18"/>
          <w:color w:val="auto"/>
        </w:rPr>
        <w:t>Unless the Issuer defaults in the payment of the redemption price, interest will cease to accrue on the 8-Year Notes or portions thereof called for redemption on the applicable redemption date. Any notice of redemption of the 8-Year Notes may, at the Issuer’s discretion, be subject to one or more conditions precedent with respect to completion of a corporate transaction (including, but not limited to, any merger, acquisition, disposition, asset sale or corporate restructuring or reorganization) or financing (including, but not limited to, any incurrence of Indebtedness (or entering into a commitment with respect thereto), Sale and Leaseback Transaction, issuance of securities, equity offering or contribution, liability management transaction or other capital raise) and may be given prior to the completion thereof. If a redemption is subject to satisfaction of one or more conditions precedent, the notice shall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A-2-5</w:t>
      </w:r>
    </w:p>
    <w:p>
      <w:pPr>
        <w:sectPr>
          <w:pgSz w:w="11900" w:h="16838" w:orient="portrait"/>
          <w:cols w:equalWidth="0" w:num="1">
            <w:col w:w="11000"/>
          </w:cols>
          <w:pgMar w:left="440" w:top="270" w:right="459" w:bottom="1440" w:gutter="0" w:footer="0" w:header="0"/>
        </w:sectPr>
      </w:pPr>
    </w:p>
    <w:bookmarkStart w:id="120" w:name="page121"/>
    <w:bookmarkEnd w:id="120"/>
    <w:p>
      <w:pPr>
        <w:ind w:right="2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describe each condition, and the notice may be rescinded in the event that any or all of the conditions shall not have been satisfied by the redemption date. The Issuer may provide in such notice that payment of the redemption price and performance of the Issuer’s obligations with respect to such redemption may be performed by another Person.</w:t>
      </w:r>
    </w:p>
    <w:p>
      <w:pPr>
        <w:spacing w:after="0" w:line="176"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In addition, the Issuer may acquire 8-Year Notes by means other than a redemption, whether by tender offer, open market purchases, negotiated transactions or otherwise, in accordance with applicable securities laws, so long as such acquisition does not otherwise violate the terms of the Indenture.</w:t>
      </w:r>
    </w:p>
    <w:p>
      <w:pPr>
        <w:spacing w:after="0" w:line="176"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Notwithstanding the foregoing, the payment of accrued but unpaid interest in connection with the redemption of 8-Year Notes is subject to the rights of a Holder of 8-Year Notes on a record date for the payment of interest whose 8-Year Notes are to be redeemed on or after such record date but on or prior to the related interest payment date to receive interest on such interest payment date.</w:t>
      </w:r>
    </w:p>
    <w:p>
      <w:pPr>
        <w:spacing w:after="0" w:line="176" w:lineRule="exact"/>
        <w:rPr>
          <w:sz w:val="20"/>
          <w:szCs w:val="20"/>
          <w:color w:val="auto"/>
        </w:rPr>
      </w:pPr>
    </w:p>
    <w:p>
      <w:pPr>
        <w:ind w:firstLine="987"/>
        <w:spacing w:after="0" w:line="256" w:lineRule="auto"/>
        <w:tabs>
          <w:tab w:leader="none" w:pos="1171"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Optional Redemption</w:t>
      </w:r>
      <w:r>
        <w:rPr>
          <w:rFonts w:ascii="Times New Roman" w:cs="Times New Roman" w:eastAsia="Times New Roman" w:hAnsi="Times New Roman"/>
          <w:sz w:val="18"/>
          <w:szCs w:val="18"/>
          <w:color w:val="auto"/>
        </w:rPr>
        <w:t>. Notices of redemption shall be mailed by first class mail or sent electronically at least 10 but not more than 60 days before the Redemption Date to each Holder of 8-Year Notes to be redeemed at its registered address (or to the extent permitted or required by applicable Depositary procedures or regulations with respect to global 8-Year Notes, sent electronically). If any 8-Year Note is to be redeemed in part only, the notice of redemption that relates to such 8-Year Note shall state the portion of the principal amount thereof to be redeemed. Any redemption and notice thereof may, in the Issuer’s discretion, be subject to the satisfaction of one or more conditions precedent described in the notice relating to such redemption.</w:t>
      </w:r>
    </w:p>
    <w:p>
      <w:pPr>
        <w:spacing w:after="0" w:line="187" w:lineRule="exact"/>
        <w:rPr>
          <w:rFonts w:ascii="Times New Roman" w:cs="Times New Roman" w:eastAsia="Times New Roman" w:hAnsi="Times New Roman"/>
          <w:sz w:val="18"/>
          <w:szCs w:val="18"/>
          <w:color w:val="auto"/>
        </w:rPr>
      </w:pPr>
    </w:p>
    <w:p>
      <w:pPr>
        <w:jc w:val="both"/>
        <w:ind w:right="360" w:firstLine="987"/>
        <w:spacing w:after="0" w:line="266" w:lineRule="auto"/>
        <w:tabs>
          <w:tab w:leader="none" w:pos="1171"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Offers To Purchase</w:t>
      </w:r>
      <w:r>
        <w:rPr>
          <w:rFonts w:ascii="Times New Roman" w:cs="Times New Roman" w:eastAsia="Times New Roman" w:hAnsi="Times New Roman"/>
          <w:sz w:val="18"/>
          <w:szCs w:val="18"/>
          <w:color w:val="auto"/>
        </w:rPr>
        <w:t>. The Indenture provides that upon the occurrence of a Change of Control or an Asset Sale and subject to further limitations contained therein, the Issuer shall make an offer to purchase outstanding 8-Year Notes in accordance with the procedures set forth in the Indenture.</w:t>
      </w:r>
    </w:p>
    <w:p>
      <w:pPr>
        <w:spacing w:after="0" w:line="175" w:lineRule="exact"/>
        <w:rPr>
          <w:rFonts w:ascii="Times New Roman" w:cs="Times New Roman" w:eastAsia="Times New Roman" w:hAnsi="Times New Roman"/>
          <w:sz w:val="18"/>
          <w:szCs w:val="18"/>
          <w:color w:val="auto"/>
        </w:rPr>
      </w:pPr>
    </w:p>
    <w:p>
      <w:pPr>
        <w:ind w:right="20" w:firstLine="987"/>
        <w:spacing w:after="0" w:line="258" w:lineRule="auto"/>
        <w:tabs>
          <w:tab w:leader="none" w:pos="1171"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Denominations, Transfer, Exchange</w:t>
      </w:r>
      <w:r>
        <w:rPr>
          <w:rFonts w:ascii="Times New Roman" w:cs="Times New Roman" w:eastAsia="Times New Roman" w:hAnsi="Times New Roman"/>
          <w:sz w:val="18"/>
          <w:szCs w:val="18"/>
          <w:color w:val="auto"/>
        </w:rPr>
        <w:t>. The 8-Year Notes are in registered form without coupons in denominations of $2,000 and integral multiples of $1,000 in excess of $2,000. A Holder may transfer or exchange 8-Year Notes in accordance with the Indenture. The Registrar may require a Holder, among other things, to furnish appropriate endorsements and transfer documents and to pay to it any taxes and fees required by law or permitted by the Indenture. The Registrar need not register the transfer of or exchange any 8-Year Notes or portion of an 8-Year Note selected for redemption, or register the transfer of or exchange any 8-Year Notes for a period of 15 days before a mailing of notice of redemption.</w:t>
      </w:r>
    </w:p>
    <w:p>
      <w:pPr>
        <w:spacing w:after="0" w:line="183"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Deemed Owners</w:t>
      </w:r>
      <w:r>
        <w:rPr>
          <w:rFonts w:ascii="Times New Roman" w:cs="Times New Roman" w:eastAsia="Times New Roman" w:hAnsi="Times New Roman"/>
          <w:sz w:val="18"/>
          <w:szCs w:val="18"/>
          <w:color w:val="auto"/>
        </w:rPr>
        <w:t>. The registered Holder of this Note may be treated as the owner of this Note for all purposes.</w:t>
      </w:r>
    </w:p>
    <w:p>
      <w:pPr>
        <w:spacing w:after="0" w:line="225" w:lineRule="exact"/>
        <w:rPr>
          <w:rFonts w:ascii="Times New Roman" w:cs="Times New Roman" w:eastAsia="Times New Roman" w:hAnsi="Times New Roman"/>
          <w:sz w:val="18"/>
          <w:szCs w:val="18"/>
          <w:color w:val="auto"/>
        </w:rPr>
      </w:pPr>
    </w:p>
    <w:p>
      <w:pPr>
        <w:ind w:right="60" w:firstLine="987"/>
        <w:spacing w:after="0" w:line="266" w:lineRule="auto"/>
        <w:tabs>
          <w:tab w:leader="none" w:pos="1261"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Unclaimed Money</w:t>
      </w:r>
      <w:r>
        <w:rPr>
          <w:rFonts w:ascii="Times New Roman" w:cs="Times New Roman" w:eastAsia="Times New Roman" w:hAnsi="Times New Roman"/>
          <w:sz w:val="18"/>
          <w:szCs w:val="18"/>
          <w:color w:val="auto"/>
        </w:rPr>
        <w:t>. If money held by the Paying Agent or Trustee for the payment of principal or interest remains unclaimed for two years, the Paying Agent or Trustee, as applicable, will pay such money back to the Issuer at its written request. After that, Holders entitled to the money must look to the Issuer and the Guarantors for payment as general creditors unless an “abandoned property” law designates another Person.</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A-2-6</w:t>
      </w:r>
    </w:p>
    <w:p>
      <w:pPr>
        <w:sectPr>
          <w:pgSz w:w="11900" w:h="16838" w:orient="portrait"/>
          <w:cols w:equalWidth="0" w:num="1">
            <w:col w:w="10980"/>
          </w:cols>
          <w:pgMar w:left="440" w:top="270" w:right="479" w:bottom="1440" w:gutter="0" w:footer="0" w:header="0"/>
        </w:sectPr>
      </w:pPr>
    </w:p>
    <w:bookmarkStart w:id="121" w:name="page122"/>
    <w:bookmarkEnd w:id="121"/>
    <w:p>
      <w:pPr>
        <w:ind w:right="20" w:firstLine="987"/>
        <w:spacing w:after="0" w:line="258" w:lineRule="auto"/>
        <w:tabs>
          <w:tab w:leader="none" w:pos="1254"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Supplement, Waiver, Etc.</w:t>
      </w:r>
      <w:r>
        <w:rPr>
          <w:rFonts w:ascii="Times New Roman" w:cs="Times New Roman" w:eastAsia="Times New Roman" w:hAnsi="Times New Roman"/>
          <w:sz w:val="18"/>
          <w:szCs w:val="18"/>
          <w:color w:val="auto"/>
        </w:rPr>
        <w:t xml:space="preserve"> The Issuer and the Trustee may, without the consent of the Holders of any outstanding 8-Year Notes, amend, waive or supplement the Indenture or the 8-Year Notes for certain specified purposes, including, among other things, curing ambiguities, omissions, defects or inconsistencies, providing for the assumption by a successor to the Issuer of its obligations to the Holders and making any change that does not adversely affect the rights of any Holder in any material respect. Other amendments and modifications of the Indenture or the 8-Year Notes may be made by the Issuer and the Trustee with the consent of Holders as further described in the Indenture.</w:t>
      </w:r>
    </w:p>
    <w:p>
      <w:pPr>
        <w:spacing w:after="0" w:line="183" w:lineRule="exact"/>
        <w:rPr>
          <w:rFonts w:ascii="Times New Roman" w:cs="Times New Roman" w:eastAsia="Times New Roman" w:hAnsi="Times New Roman"/>
          <w:sz w:val="18"/>
          <w:szCs w:val="18"/>
          <w:color w:val="auto"/>
        </w:rPr>
      </w:pPr>
    </w:p>
    <w:p>
      <w:pPr>
        <w:ind w:right="120" w:firstLine="987"/>
        <w:spacing w:after="0" w:line="258" w:lineRule="auto"/>
        <w:tabs>
          <w:tab w:leader="none" w:pos="1261"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Covenants</w:t>
      </w:r>
      <w:r>
        <w:rPr>
          <w:rFonts w:ascii="Times New Roman" w:cs="Times New Roman" w:eastAsia="Times New Roman" w:hAnsi="Times New Roman"/>
          <w:sz w:val="18"/>
          <w:szCs w:val="18"/>
          <w:color w:val="auto"/>
        </w:rPr>
        <w:t>. The Indenture imposes certain limitations on the ability of the Parent Guarantor and its Subsidiaries to, among other things, create liens, make Restricted Payments, enter into Sale and Leaseback Transactions or consolidate, merge or sell all or substantially all of the assets of the Parent Guarantor and its Subsidiaries and requires the Issuer to provide reports to Holders of the 8-Year Notes. Such limitations are subject to a number of important qualifications and exceptions. Pursuant to Section 4.05 of the Indenture, the Issuer must annually report to the Trustee on compliance with such limitations.</w:t>
      </w:r>
    </w:p>
    <w:p>
      <w:pPr>
        <w:spacing w:after="0" w:line="183" w:lineRule="exact"/>
        <w:rPr>
          <w:rFonts w:ascii="Times New Roman" w:cs="Times New Roman" w:eastAsia="Times New Roman" w:hAnsi="Times New Roman"/>
          <w:sz w:val="18"/>
          <w:szCs w:val="18"/>
          <w:color w:val="auto"/>
        </w:rPr>
      </w:pPr>
    </w:p>
    <w:p>
      <w:pPr>
        <w:ind w:right="80" w:firstLine="987"/>
        <w:spacing w:after="0" w:line="266" w:lineRule="auto"/>
        <w:tabs>
          <w:tab w:leader="none" w:pos="1261"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 Person</w:t>
      </w:r>
      <w:r>
        <w:rPr>
          <w:rFonts w:ascii="Times New Roman" w:cs="Times New Roman" w:eastAsia="Times New Roman" w:hAnsi="Times New Roman"/>
          <w:sz w:val="18"/>
          <w:szCs w:val="18"/>
          <w:color w:val="auto"/>
        </w:rPr>
        <w:t>. When a successor Person assumes all the obligations of its predecessor under the 8-Year Notes and the Indenture and the transaction complies with the terms of Article Five of the Indenture, the predecessor Person will, except as provided in Article Five, be released from those obligations.</w:t>
      </w:r>
    </w:p>
    <w:p>
      <w:pPr>
        <w:spacing w:after="0" w:line="175" w:lineRule="exact"/>
        <w:rPr>
          <w:rFonts w:ascii="Times New Roman" w:cs="Times New Roman" w:eastAsia="Times New Roman" w:hAnsi="Times New Roman"/>
          <w:sz w:val="18"/>
          <w:szCs w:val="18"/>
          <w:color w:val="auto"/>
        </w:rPr>
      </w:pPr>
    </w:p>
    <w:p>
      <w:pPr>
        <w:ind w:firstLine="987"/>
        <w:spacing w:after="0" w:line="254" w:lineRule="auto"/>
        <w:tabs>
          <w:tab w:leader="none" w:pos="1261"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Defaults and Remedies</w:t>
      </w:r>
      <w:r>
        <w:rPr>
          <w:rFonts w:ascii="Times New Roman" w:cs="Times New Roman" w:eastAsia="Times New Roman" w:hAnsi="Times New Roman"/>
          <w:sz w:val="18"/>
          <w:szCs w:val="18"/>
          <w:color w:val="auto"/>
        </w:rPr>
        <w:t xml:space="preserve">. Events of Default are set forth in the Indenture. If an Event of Default occurs and is continuing under the Indenture, either the Trustee, by notice in writing to the Issuer, or the Holders of at least 25% in aggregate principal amount of the 8-Year Notes then outstanding, by notice in writing to the Issuer and the Trustee specifying the respective Event of Default and that it is a “notice of acceleration”, may declare the principal of and premium, if any, and accrued interest, if any, on the 8-Year Notes to be due and payable, and upon such declaration of acceleration, such principal of and premium, if any, and accrued interest, if any, shall be immediately due and payable;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notwithstanding the foregoing, if an Event of Default specified in Section 6.01(7) occurs with respect to the Issuer or the Parent Guarantor, the principal of and premium, if any, and accrued interest, if any, on the 8-Year Notes then outstanding shall become and be immediately due and payable without any declaration or other act on the part of the Trustee or any Holder.</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Notwithstanding the foregoing, if after such acceleration but before a judgment or decree based on such acceleration is obtained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the Holders of a majority in aggregate principal amount of the 8-Year Notes then outstanding may rescind and annul such acceleration if:</w:t>
      </w:r>
    </w:p>
    <w:p>
      <w:pPr>
        <w:spacing w:after="0" w:line="99" w:lineRule="exact"/>
        <w:rPr>
          <w:sz w:val="20"/>
          <w:szCs w:val="20"/>
          <w:color w:val="auto"/>
        </w:rPr>
      </w:pPr>
    </w:p>
    <w:p>
      <w:pPr>
        <w:ind w:left="440" w:right="660" w:firstLine="419"/>
        <w:spacing w:after="0" w:line="282" w:lineRule="auto"/>
        <w:tabs>
          <w:tab w:leader="none" w:pos="111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other than nonpayment of principal, premium, if any, or interest that has become due solely because of the acceleration, have been cured or waived;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A-2-7</w:t>
      </w:r>
    </w:p>
    <w:p>
      <w:pPr>
        <w:sectPr>
          <w:pgSz w:w="11900" w:h="16838" w:orient="portrait"/>
          <w:cols w:equalWidth="0" w:num="1">
            <w:col w:w="11000"/>
          </w:cols>
          <w:pgMar w:left="440" w:top="270" w:right="459" w:bottom="1440" w:gutter="0" w:footer="0" w:header="0"/>
        </w:sectPr>
      </w:pPr>
    </w:p>
    <w:bookmarkStart w:id="122" w:name="page123"/>
    <w:bookmarkEnd w:id="122"/>
    <w:p>
      <w:pPr>
        <w:ind w:left="440" w:right="60" w:firstLine="419"/>
        <w:spacing w:after="0" w:line="282" w:lineRule="auto"/>
        <w:tabs>
          <w:tab w:leader="none" w:pos="111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the payment of such interest is lawful, interest on overdue installments of interest and overdue principal, which has become due otherwise than by such declaration of acceleration, has been paid;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paid the Trustee its reasonable compensation and reimbursed the Trustee for its expenses, disbursements and advances;</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98" w:lineRule="exact"/>
        <w:rPr>
          <w:rFonts w:ascii="Times New Roman" w:cs="Times New Roman" w:eastAsia="Times New Roman" w:hAnsi="Times New Roman"/>
          <w:sz w:val="18"/>
          <w:szCs w:val="18"/>
          <w:color w:val="auto"/>
        </w:rPr>
      </w:pPr>
    </w:p>
    <w:p>
      <w:pPr>
        <w:ind w:left="440" w:right="440" w:firstLine="419"/>
        <w:spacing w:after="0" w:line="282" w:lineRule="auto"/>
        <w:tabs>
          <w:tab w:leader="none" w:pos="111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cure or waiver of an Event of Default of the type described in Section 6.01(7), the Trustee shall have received an Officer’s Certificate and an Opinion of Counsel that such Event of Default has been cured or waived.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such rescission shall affect any subsequent Default or impair any right consequent thereto.</w:t>
      </w:r>
    </w:p>
    <w:p>
      <w:pPr>
        <w:spacing w:after="0" w:line="225"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Holders may not enforce the Indenture or the 8-Year Notes except as provided in the Indenture. The Trustee may require indemnity satisfactory to it before it enforces the Indenture or the 8-Year Notes. Subject to certain limitations, Holders of a majority in principal amount of the then outstanding 8-Year Notes may direct the Trustee in its exercise of any trust or power. The Trustee may withhold from Holders notice of any continuing Default or Event of Default (except a Default or Event of Default relating to the payment of principal of or interest on the 8-Year Notes) if it determines that withholding notice is in their best interests.</w:t>
      </w:r>
    </w:p>
    <w:p>
      <w:pPr>
        <w:spacing w:after="0" w:line="183" w:lineRule="exact"/>
        <w:rPr>
          <w:sz w:val="20"/>
          <w:szCs w:val="20"/>
          <w:color w:val="auto"/>
        </w:rPr>
      </w:pPr>
    </w:p>
    <w:p>
      <w:pPr>
        <w:ind w:right="380" w:firstLine="987"/>
        <w:spacing w:after="0" w:line="282" w:lineRule="auto"/>
        <w:tabs>
          <w:tab w:leader="none" w:pos="126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Trustee Dealings with the Issuer</w:t>
      </w:r>
      <w:r>
        <w:rPr>
          <w:rFonts w:ascii="Times New Roman" w:cs="Times New Roman" w:eastAsia="Times New Roman" w:hAnsi="Times New Roman"/>
          <w:sz w:val="18"/>
          <w:szCs w:val="18"/>
          <w:color w:val="auto"/>
        </w:rPr>
        <w:t>. The Trustee, in its individual or any other capacity, may make loans to, accept deposits from and perform services for the Issuer or its Affiliates, and may otherwise deal with the Issuer or its Affiliates, as if it were not Trustee.</w:t>
      </w:r>
    </w:p>
    <w:p>
      <w:pPr>
        <w:spacing w:after="0" w:line="161" w:lineRule="exact"/>
        <w:rPr>
          <w:rFonts w:ascii="Times New Roman" w:cs="Times New Roman" w:eastAsia="Times New Roman" w:hAnsi="Times New Roman"/>
          <w:sz w:val="18"/>
          <w:szCs w:val="18"/>
          <w:color w:val="auto"/>
        </w:rPr>
      </w:pPr>
    </w:p>
    <w:p>
      <w:pPr>
        <w:ind w:firstLine="987"/>
        <w:spacing w:after="0" w:line="261" w:lineRule="auto"/>
        <w:tabs>
          <w:tab w:leader="none" w:pos="126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Recourse Against Others</w:t>
      </w:r>
      <w:r>
        <w:rPr>
          <w:rFonts w:ascii="Times New Roman" w:cs="Times New Roman" w:eastAsia="Times New Roman" w:hAnsi="Times New Roman"/>
          <w:sz w:val="18"/>
          <w:szCs w:val="18"/>
          <w:color w:val="auto"/>
        </w:rPr>
        <w:t>. No director, officer, employee, incorporator, member of the Board of Directors or holder of Capital Stock of the Parent Guarantor or of any Subsidiary, as such, shall have any liability for any obligations of the Issuer or the Guarantors under the 8-Year Notes, the Indenture or the Guarantees or for any claim based on, in respect of, or by reason of, such obligations or their creation. Each Holder of 8-Year Notes by accepting an 8-Year Note waives and releases all such liability.</w:t>
      </w:r>
    </w:p>
    <w:p>
      <w:pPr>
        <w:spacing w:after="0" w:line="179" w:lineRule="exact"/>
        <w:rPr>
          <w:rFonts w:ascii="Times New Roman" w:cs="Times New Roman" w:eastAsia="Times New Roman" w:hAnsi="Times New Roman"/>
          <w:sz w:val="18"/>
          <w:szCs w:val="18"/>
          <w:color w:val="auto"/>
        </w:rPr>
      </w:pPr>
    </w:p>
    <w:p>
      <w:pPr>
        <w:ind w:right="180" w:firstLine="987"/>
        <w:spacing w:after="0" w:line="261" w:lineRule="auto"/>
        <w:tabs>
          <w:tab w:leader="none" w:pos="126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Satisfaction and Discharge</w:t>
      </w:r>
      <w:r>
        <w:rPr>
          <w:rFonts w:ascii="Times New Roman" w:cs="Times New Roman" w:eastAsia="Times New Roman" w:hAnsi="Times New Roman"/>
          <w:sz w:val="18"/>
          <w:szCs w:val="18"/>
          <w:color w:val="auto"/>
        </w:rPr>
        <w:t>. The Issuer’s and each Guarantors’ obligations pursuant to the Indenture will be discharged, except for obligations pursuant to certain sections thereof, subject to the terms of the Indenture, upon the payment of all the 8-Year Notes or upon the irrevocable deposit with the Trustee of cash in U.S. Dollars, U.S. Government Obligations or a combination thereof, in such amounts as will be sufficient to pay when due principal of and interest on the 8-Year Notes to maturity or redemption, as the case may be.</w:t>
      </w:r>
    </w:p>
    <w:p>
      <w:pPr>
        <w:spacing w:after="0" w:line="179" w:lineRule="exact"/>
        <w:rPr>
          <w:rFonts w:ascii="Times New Roman" w:cs="Times New Roman" w:eastAsia="Times New Roman" w:hAnsi="Times New Roman"/>
          <w:sz w:val="18"/>
          <w:szCs w:val="18"/>
          <w:color w:val="auto"/>
        </w:rPr>
      </w:pPr>
    </w:p>
    <w:p>
      <w:pPr>
        <w:ind w:right="40" w:firstLine="987"/>
        <w:spacing w:after="0" w:line="266" w:lineRule="auto"/>
        <w:tabs>
          <w:tab w:leader="none" w:pos="126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Guarantees</w:t>
      </w:r>
      <w:r>
        <w:rPr>
          <w:rFonts w:ascii="Times New Roman" w:cs="Times New Roman" w:eastAsia="Times New Roman" w:hAnsi="Times New Roman"/>
          <w:sz w:val="18"/>
          <w:szCs w:val="18"/>
          <w:color w:val="auto"/>
        </w:rPr>
        <w:t>. From and after the Issue Date, the 8-Year Notes will be entitled to the benefits of certain Guarantees made for the benefit of the Holders. Reference is hereby made to the Indenture for a statement of the respective rights, limitations of rights, duties and obligations thereunder of the Guarantors, the Trustee and the Holders.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A-2-8</w:t>
      </w:r>
    </w:p>
    <w:p>
      <w:pPr>
        <w:sectPr>
          <w:pgSz w:w="11900" w:h="16838" w:orient="portrait"/>
          <w:cols w:equalWidth="0" w:num="1">
            <w:col w:w="11000"/>
          </w:cols>
          <w:pgMar w:left="440" w:top="270" w:right="459" w:bottom="1440" w:gutter="0" w:footer="0" w:header="0"/>
        </w:sectPr>
      </w:pPr>
    </w:p>
    <w:bookmarkStart w:id="123" w:name="page124"/>
    <w:bookmarkEnd w:id="12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19. </w:t>
      </w:r>
      <w:r>
        <w:rPr>
          <w:rFonts w:ascii="Times New Roman" w:cs="Times New Roman" w:eastAsia="Times New Roman" w:hAnsi="Times New Roman"/>
          <w:sz w:val="18"/>
          <w:szCs w:val="18"/>
          <w:u w:val="single" w:color="auto"/>
          <w:color w:val="auto"/>
        </w:rPr>
        <w:t>Authentication</w:t>
      </w:r>
      <w:r>
        <w:rPr>
          <w:rFonts w:ascii="Times New Roman" w:cs="Times New Roman" w:eastAsia="Times New Roman" w:hAnsi="Times New Roman"/>
          <w:sz w:val="18"/>
          <w:szCs w:val="18"/>
          <w:color w:val="auto"/>
        </w:rPr>
        <w:t>. This Note shall not be valid until the Trustee manually signs the certificate of authentication on the other side of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w:t>
      </w:r>
    </w:p>
    <w:p>
      <w:pPr>
        <w:spacing w:after="0" w:line="207" w:lineRule="exact"/>
        <w:rPr>
          <w:sz w:val="20"/>
          <w:szCs w:val="20"/>
          <w:color w:val="auto"/>
        </w:rPr>
      </w:pPr>
    </w:p>
    <w:p>
      <w:pPr>
        <w:ind w:firstLine="987"/>
        <w:spacing w:after="0" w:line="266" w:lineRule="auto"/>
        <w:tabs>
          <w:tab w:leader="none" w:pos="1261"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NOTE SHALL BE GOVERNED BY AND CONSTRUED IN ACCORDANCE WITH THE LAWS OF THE STATE OF NEW YORK, BUT WITHOUT GIVING EFFECT TO APPLICABLE PRINCIPLES OF CONFLICTS OF LAW TO THE EXTENT THAT THE APPLICATION OF THE LAW OF ANOTHER JURISDICTION WOULD BE REQUIRED THEREBY.</w:t>
      </w:r>
    </w:p>
    <w:p>
      <w:pPr>
        <w:spacing w:after="0" w:line="175" w:lineRule="exact"/>
        <w:rPr>
          <w:rFonts w:ascii="Times New Roman" w:cs="Times New Roman" w:eastAsia="Times New Roman" w:hAnsi="Times New Roman"/>
          <w:sz w:val="18"/>
          <w:szCs w:val="18"/>
          <w:color w:val="auto"/>
        </w:rPr>
      </w:pPr>
    </w:p>
    <w:p>
      <w:pPr>
        <w:ind w:right="560" w:firstLine="987"/>
        <w:spacing w:after="0" w:line="266" w:lineRule="auto"/>
        <w:tabs>
          <w:tab w:leader="none" w:pos="1261"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Abbreviations. Customary abbreviations may be used in the name of a Holder or an assignee, such as: TEN COM (= tenants in common), TENANT (= tenants by the entireties), JT TEN (= joint tenants with right of survivorship and not as tenants in common), CUST (= Custodian), and U/G/M/A (= Uniform Gifts to Minors Act).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Issuer will furnish to any Holder upon written request and without charge a copy of the Indenture. Requests may be made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WESCO Distribution,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225 West Station Square Drive, Suite 700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Pittsburgh, Pennsylvania 15219-1122 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Facsimile: (412) 222-7566</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A-2-10</w:t>
      </w:r>
    </w:p>
    <w:p>
      <w:pPr>
        <w:sectPr>
          <w:pgSz w:w="11900" w:h="16838" w:orient="portrait"/>
          <w:cols w:equalWidth="0" w:num="1">
            <w:col w:w="10940"/>
          </w:cols>
          <w:pgMar w:left="440" w:top="270" w:right="51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w:t>
      </w:r>
    </w:p>
    <w:p>
      <w:pPr>
        <w:spacing w:after="0" w:line="2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(Insert assignee’s social security or tax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9516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(Print or type name, address and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951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irrevocably appoint 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1082675</wp:posOffset>
            </wp:positionH>
            <wp:positionV relativeFrom="paragraph">
              <wp:posOffset>-7620</wp:posOffset>
            </wp:positionV>
            <wp:extent cx="502793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02793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to transfer this Note on the books of the Issuer. The Agent may substitute another to act for him.</w:t>
      </w:r>
    </w:p>
    <w:p>
      <w:pPr>
        <w:spacing w:after="0" w:line="200" w:lineRule="exact"/>
        <w:rPr>
          <w:sz w:val="20"/>
          <w:szCs w:val="20"/>
          <w:color w:val="auto"/>
        </w:rPr>
      </w:pPr>
    </w:p>
    <w:p>
      <w:pPr>
        <w:spacing w:after="0" w:line="268" w:lineRule="exact"/>
        <w:rPr>
          <w:sz w:val="20"/>
          <w:szCs w:val="20"/>
          <w:color w:val="auto"/>
        </w:rPr>
      </w:pPr>
    </w:p>
    <w:p>
      <w:pPr>
        <w:spacing w:after="0"/>
        <w:tabs>
          <w:tab w:leader="none" w:pos="53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17145</wp:posOffset>
            </wp:positionV>
            <wp:extent cx="672084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720840" cy="8255"/>
                    </a:xfrm>
                    <a:prstGeom prst="rect">
                      <a:avLst/>
                    </a:prstGeom>
                    <a:noFill/>
                  </pic:spPr>
                </pic:pic>
              </a:graphicData>
            </a:graphic>
          </wp:anchor>
        </w:drawing>
      </w:r>
    </w:p>
    <w:p>
      <w:pPr>
        <w:spacing w:after="0" w:line="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(Sign exactly as your name appears on the other side of</w:t>
      </w:r>
    </w:p>
    <w:p>
      <w:pPr>
        <w:spacing w:after="0" w:line="23"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this Note)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17145</wp:posOffset>
            </wp:positionV>
            <wp:extent cx="161988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25" w:lineRule="exact"/>
        <w:rPr>
          <w:sz w:val="20"/>
          <w:szCs w:val="20"/>
          <w:color w:val="auto"/>
        </w:rPr>
      </w:pPr>
    </w:p>
    <w:p>
      <w:pPr>
        <w:ind w:firstLine="991"/>
        <w:spacing w:after="0" w:line="289" w:lineRule="auto"/>
        <w:rPr>
          <w:sz w:val="20"/>
          <w:szCs w:val="20"/>
          <w:color w:val="auto"/>
        </w:rPr>
      </w:pPr>
      <w:r>
        <w:rPr>
          <w:rFonts w:ascii="Times New Roman" w:cs="Times New Roman" w:eastAsia="Times New Roman" w:hAnsi="Times New Roman"/>
          <w:sz w:val="17"/>
          <w:szCs w:val="17"/>
          <w:color w:val="auto"/>
        </w:rPr>
        <w:t>Signatures must be guaranteed by an “eligible guarantor institution” meeting the requirements of the Registrar, which requirements include membership or participation in the Security Transfer Agent Medallion Program (“STAMP”) or such other “signature guarantee program” as may be determined by the Registrar in addition to, or in substitution for, STAMP, all in accordance with the Securities Exchange Act of 1934, as amended.</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A-2-10</w:t>
      </w:r>
    </w:p>
    <w:p>
      <w:pPr>
        <w:sectPr>
          <w:pgSz w:w="11900" w:h="16838" w:orient="portrait"/>
          <w:cols w:equalWidth="0" w:num="1">
            <w:col w:w="11000"/>
          </w:cols>
          <w:pgMar w:left="440" w:top="270" w:right="45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 OF HOLDER TO ELECT PURCHASE</w:t>
      </w:r>
    </w:p>
    <w:p>
      <w:pPr>
        <w:spacing w:after="0" w:line="225"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If you want to elect to have all or any part of this Note purchased by the Issuer pursuant to Section 4.07 or Section 4.08 of the Indenture check the appropriate box:</w:t>
      </w:r>
    </w:p>
    <w:p>
      <w:pPr>
        <w:spacing w:after="0" w:line="121"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Section 4.07 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Section 4.08</w:t>
      </w:r>
    </w:p>
    <w:p>
      <w:pPr>
        <w:spacing w:after="0" w:line="266"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If you want to have only part of this Note purchased by the Issuer pursuant to Section 4.07 or Section 4.08 of the Indenture, state the amount you elect to have purchased: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17145</wp:posOffset>
            </wp:positionV>
            <wp:extent cx="26746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($2,000 or integral multiples of $1,000 in excess of</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$2,000;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 not purchased must be at</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least $2,000)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17145</wp:posOffset>
            </wp:positionV>
            <wp:extent cx="24860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4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5038090</wp:posOffset>
            </wp:positionH>
            <wp:positionV relativeFrom="paragraph">
              <wp:posOffset>17145</wp:posOffset>
            </wp:positionV>
            <wp:extent cx="195453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7"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(Sign exactly as your name appears on</w:t>
      </w:r>
    </w:p>
    <w:p>
      <w:pPr>
        <w:spacing w:after="0" w:line="23"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the face of this Note)</w:t>
      </w:r>
    </w:p>
    <w:p>
      <w:pPr>
        <w:spacing w:after="0" w:line="200" w:lineRule="exact"/>
        <w:rPr>
          <w:sz w:val="20"/>
          <w:szCs w:val="20"/>
          <w:color w:val="auto"/>
        </w:rPr>
      </w:pPr>
    </w:p>
    <w:p>
      <w:pPr>
        <w:spacing w:after="0" w:line="33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27946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25" w:lineRule="exact"/>
        <w:rPr>
          <w:sz w:val="20"/>
          <w:szCs w:val="20"/>
          <w:color w:val="auto"/>
        </w:rPr>
      </w:pPr>
    </w:p>
    <w:p>
      <w:pPr>
        <w:ind w:firstLine="991"/>
        <w:spacing w:after="0" w:line="289" w:lineRule="auto"/>
        <w:rPr>
          <w:sz w:val="20"/>
          <w:szCs w:val="20"/>
          <w:color w:val="auto"/>
        </w:rPr>
      </w:pPr>
      <w:r>
        <w:rPr>
          <w:rFonts w:ascii="Times New Roman" w:cs="Times New Roman" w:eastAsia="Times New Roman" w:hAnsi="Times New Roman"/>
          <w:sz w:val="17"/>
          <w:szCs w:val="17"/>
          <w:color w:val="auto"/>
        </w:rPr>
        <w:t>Signatures must be guaranteed by an “eligible guarantor institution” meeting the requirements of the Registrar, which requirements include membership or participation in the Security Transfer Agent Medallion Program (“STAMP”) or such other “signature guarantee program” as may be determined by the Registrar in addition to, or in substitution for, STAMP, all in accordance with the Securities Exchange Act of 1934, as amended.</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A-2-11</w:t>
      </w:r>
    </w:p>
    <w:p>
      <w:pPr>
        <w:sectPr>
          <w:pgSz w:w="11900" w:h="16838" w:orient="portrait"/>
          <w:cols w:equalWidth="0" w:num="1">
            <w:col w:w="11000"/>
          </w:cols>
          <w:pgMar w:left="440" w:top="270" w:right="459" w:bottom="1440" w:gutter="0" w:footer="0" w:header="0"/>
        </w:sectPr>
      </w:pPr>
    </w:p>
    <w:bookmarkStart w:id="126" w:name="page127"/>
    <w:bookmarkEnd w:id="126"/>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w:t>
      </w:r>
      <w:r>
        <w:rPr>
          <w:rFonts w:ascii="Times New Roman" w:cs="Times New Roman" w:eastAsia="Times New Roman" w:hAnsi="Times New Roman"/>
          <w:sz w:val="14"/>
          <w:szCs w:val="14"/>
          <w:color w:val="auto"/>
        </w:rPr>
        <w:t>CHEDULE OF</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XCHANGES OF</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NTERESTS IN</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LOBAL</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OTE</w:t>
      </w:r>
      <w:r>
        <w:rPr>
          <w:rFonts w:ascii="Times New Roman" w:cs="Times New Roman" w:eastAsia="Times New Roman" w:hAnsi="Times New Roman"/>
          <w:sz w:val="22"/>
          <w:szCs w:val="22"/>
          <w:color w:val="auto"/>
          <w:vertAlign w:val="superscript"/>
        </w:rPr>
        <w:t>*</w:t>
      </w:r>
    </w:p>
    <w:p>
      <w:pPr>
        <w:spacing w:after="0" w:line="179"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The following exchanges of a part of this Global Note for an interest in another Global Note or for a Physical Note, or exchanges of a part of another Global Note or Physical Note for an interest in this Global Note, have been made:</w:t>
      </w:r>
    </w:p>
    <w:p>
      <w:pPr>
        <w:spacing w:after="0" w:line="172"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3440" w:type="dxa"/>
            <w:vAlign w:val="bottom"/>
            <w:gridSpan w:val="3"/>
            <w:vMerge w:val="restart"/>
          </w:tcPr>
          <w:p>
            <w:pPr>
              <w:jc w:val="center"/>
              <w:ind w:left="828"/>
              <w:spacing w:after="0"/>
              <w:rPr>
                <w:sz w:val="20"/>
                <w:szCs w:val="20"/>
                <w:color w:val="auto"/>
              </w:rPr>
            </w:pPr>
            <w:r>
              <w:rPr>
                <w:rFonts w:ascii="Times New Roman" w:cs="Times New Roman" w:eastAsia="Times New Roman" w:hAnsi="Times New Roman"/>
                <w:sz w:val="14"/>
                <w:szCs w:val="14"/>
                <w:color w:val="auto"/>
              </w:rPr>
              <w:t>Amount of decrease in</w:t>
            </w:r>
          </w:p>
        </w:tc>
        <w:tc>
          <w:tcPr>
            <w:tcW w:w="2380" w:type="dxa"/>
            <w:vAlign w:val="bottom"/>
            <w:gridSpan w:val="3"/>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Amount of increase in</w:t>
            </w:r>
          </w:p>
        </w:tc>
        <w:tc>
          <w:tcPr>
            <w:tcW w:w="1720" w:type="dxa"/>
            <w:vAlign w:val="bottom"/>
            <w:gridSpan w:val="3"/>
          </w:tcPr>
          <w:p>
            <w:pPr>
              <w:jc w:val="center"/>
              <w:ind w:left="308"/>
              <w:spacing w:after="0"/>
              <w:rPr>
                <w:sz w:val="20"/>
                <w:szCs w:val="20"/>
                <w:color w:val="auto"/>
              </w:rPr>
            </w:pPr>
            <w:r>
              <w:rPr>
                <w:rFonts w:ascii="Times New Roman" w:cs="Times New Roman" w:eastAsia="Times New Roman" w:hAnsi="Times New Roman"/>
                <w:sz w:val="14"/>
                <w:szCs w:val="14"/>
                <w:color w:val="auto"/>
              </w:rPr>
              <w:t>Principal Amount</w:t>
            </w: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3440" w:type="dxa"/>
            <w:vAlign w:val="bottom"/>
            <w:gridSpan w:val="3"/>
            <w:vMerge w:val="continue"/>
          </w:tcPr>
          <w:p>
            <w:pPr>
              <w:spacing w:after="0"/>
              <w:rPr>
                <w:sz w:val="12"/>
                <w:szCs w:val="12"/>
                <w:color w:val="auto"/>
              </w:rPr>
            </w:pPr>
          </w:p>
        </w:tc>
        <w:tc>
          <w:tcPr>
            <w:tcW w:w="2380" w:type="dxa"/>
            <w:vAlign w:val="bottom"/>
            <w:gridSpan w:val="3"/>
            <w:vMerge w:val="continue"/>
          </w:tcPr>
          <w:p>
            <w:pPr>
              <w:spacing w:after="0"/>
              <w:rPr>
                <w:sz w:val="12"/>
                <w:szCs w:val="12"/>
                <w:color w:val="auto"/>
              </w:rPr>
            </w:pPr>
          </w:p>
        </w:tc>
        <w:tc>
          <w:tcPr>
            <w:tcW w:w="1720" w:type="dxa"/>
            <w:vAlign w:val="bottom"/>
            <w:gridSpan w:val="3"/>
          </w:tcPr>
          <w:p>
            <w:pPr>
              <w:jc w:val="center"/>
              <w:ind w:left="308"/>
              <w:spacing w:after="0" w:line="149" w:lineRule="exact"/>
              <w:rPr>
                <w:sz w:val="20"/>
                <w:szCs w:val="20"/>
                <w:color w:val="auto"/>
              </w:rPr>
            </w:pPr>
            <w:r>
              <w:rPr>
                <w:rFonts w:ascii="Times New Roman" w:cs="Times New Roman" w:eastAsia="Times New Roman" w:hAnsi="Times New Roman"/>
                <w:sz w:val="14"/>
                <w:szCs w:val="14"/>
                <w:color w:val="auto"/>
              </w:rPr>
              <w:t>of this Global Note</w:t>
            </w: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3440" w:type="dxa"/>
            <w:vAlign w:val="bottom"/>
            <w:gridSpan w:val="3"/>
          </w:tcPr>
          <w:p>
            <w:pPr>
              <w:jc w:val="center"/>
              <w:ind w:left="828"/>
              <w:spacing w:after="0" w:line="149" w:lineRule="exact"/>
              <w:rPr>
                <w:sz w:val="20"/>
                <w:szCs w:val="20"/>
                <w:color w:val="auto"/>
              </w:rPr>
            </w:pPr>
            <w:r>
              <w:rPr>
                <w:rFonts w:ascii="Times New Roman" w:cs="Times New Roman" w:eastAsia="Times New Roman" w:hAnsi="Times New Roman"/>
                <w:sz w:val="14"/>
                <w:szCs w:val="14"/>
                <w:color w:val="auto"/>
              </w:rPr>
              <w:t>Principal Amount</w:t>
            </w:r>
          </w:p>
        </w:tc>
        <w:tc>
          <w:tcPr>
            <w:tcW w:w="2380" w:type="dxa"/>
            <w:vAlign w:val="bottom"/>
            <w:gridSpan w:val="3"/>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Principal Amount</w:t>
            </w:r>
          </w:p>
        </w:tc>
        <w:tc>
          <w:tcPr>
            <w:tcW w:w="1720" w:type="dxa"/>
            <w:vAlign w:val="bottom"/>
            <w:gridSpan w:val="3"/>
          </w:tcPr>
          <w:p>
            <w:pPr>
              <w:jc w:val="center"/>
              <w:ind w:left="308"/>
              <w:spacing w:after="0" w:line="149" w:lineRule="exact"/>
              <w:rPr>
                <w:sz w:val="20"/>
                <w:szCs w:val="20"/>
                <w:color w:val="auto"/>
              </w:rPr>
            </w:pPr>
            <w:r>
              <w:rPr>
                <w:rFonts w:ascii="Times New Roman" w:cs="Times New Roman" w:eastAsia="Times New Roman" w:hAnsi="Times New Roman"/>
                <w:sz w:val="14"/>
                <w:szCs w:val="14"/>
                <w:color w:val="auto"/>
              </w:rPr>
              <w:t>following such</w:t>
            </w:r>
          </w:p>
        </w:tc>
        <w:tc>
          <w:tcPr>
            <w:tcW w:w="150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Signature of authorized</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Date of Exchange</w:t>
            </w:r>
          </w:p>
        </w:tc>
        <w:tc>
          <w:tcPr>
            <w:tcW w:w="1680" w:type="dxa"/>
            <w:vAlign w:val="bottom"/>
          </w:tcPr>
          <w:p>
            <w:pPr>
              <w:spacing w:after="0"/>
              <w:rPr>
                <w:sz w:val="12"/>
                <w:szCs w:val="12"/>
                <w:color w:val="auto"/>
              </w:rPr>
            </w:pPr>
          </w:p>
        </w:tc>
        <w:tc>
          <w:tcPr>
            <w:tcW w:w="176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780" w:type="dxa"/>
            <w:vAlign w:val="bottom"/>
          </w:tcPr>
          <w:p>
            <w:pPr>
              <w:spacing w:after="0"/>
              <w:rPr>
                <w:sz w:val="12"/>
                <w:szCs w:val="12"/>
                <w:color w:val="auto"/>
              </w:rPr>
            </w:pPr>
          </w:p>
        </w:tc>
        <w:tc>
          <w:tcPr>
            <w:tcW w:w="160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6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decrease</w:t>
            </w:r>
          </w:p>
        </w:tc>
        <w:tc>
          <w:tcPr>
            <w:tcW w:w="1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40" w:type="dxa"/>
            <w:vAlign w:val="bottom"/>
            <w:vMerge w:val="continue"/>
          </w:tcPr>
          <w:p>
            <w:pPr>
              <w:spacing w:after="0"/>
              <w:rPr>
                <w:sz w:val="14"/>
                <w:szCs w:val="14"/>
                <w:color w:val="auto"/>
              </w:rPr>
            </w:pPr>
          </w:p>
        </w:tc>
        <w:tc>
          <w:tcPr>
            <w:tcW w:w="1680" w:type="dxa"/>
            <w:vAlign w:val="bottom"/>
          </w:tcPr>
          <w:p>
            <w:pPr>
              <w:spacing w:after="0"/>
              <w:rPr>
                <w:sz w:val="14"/>
                <w:szCs w:val="14"/>
                <w:color w:val="auto"/>
              </w:rPr>
            </w:pPr>
          </w:p>
        </w:tc>
        <w:tc>
          <w:tcPr>
            <w:tcW w:w="176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color w:val="auto"/>
              </w:rPr>
              <w:t>this Global Note</w:t>
            </w:r>
          </w:p>
        </w:tc>
        <w:tc>
          <w:tcPr>
            <w:tcW w:w="780" w:type="dxa"/>
            <w:vAlign w:val="bottom"/>
          </w:tcPr>
          <w:p>
            <w:pPr>
              <w:spacing w:after="0"/>
              <w:rPr>
                <w:sz w:val="14"/>
                <w:szCs w:val="14"/>
                <w:color w:val="auto"/>
              </w:rPr>
            </w:pPr>
          </w:p>
        </w:tc>
        <w:tc>
          <w:tcPr>
            <w:tcW w:w="160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color w:val="auto"/>
              </w:rPr>
              <w:t>this Global Note</w:t>
            </w:r>
          </w:p>
        </w:tc>
        <w:tc>
          <w:tcPr>
            <w:tcW w:w="1720" w:type="dxa"/>
            <w:vAlign w:val="bottom"/>
            <w:gridSpan w:val="3"/>
          </w:tcPr>
          <w:p>
            <w:pPr>
              <w:jc w:val="center"/>
              <w:ind w:left="288"/>
              <w:spacing w:after="0"/>
              <w:rPr>
                <w:sz w:val="20"/>
                <w:szCs w:val="20"/>
                <w:color w:val="auto"/>
              </w:rPr>
            </w:pPr>
            <w:r>
              <w:rPr>
                <w:rFonts w:ascii="Times New Roman" w:cs="Times New Roman" w:eastAsia="Times New Roman" w:hAnsi="Times New Roman"/>
                <w:sz w:val="14"/>
                <w:szCs w:val="14"/>
                <w:color w:val="auto"/>
              </w:rPr>
              <w:t>(or increase)</w:t>
            </w: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signatory of Trustee</w:t>
            </w:r>
          </w:p>
        </w:tc>
        <w:tc>
          <w:tcPr>
            <w:tcW w:w="0" w:type="dxa"/>
            <w:vAlign w:val="bottom"/>
          </w:tcPr>
          <w:p>
            <w:pPr>
              <w:spacing w:after="0"/>
              <w:rPr>
                <w:sz w:val="1"/>
                <w:szCs w:val="1"/>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325755</wp:posOffset>
            </wp:positionV>
            <wp:extent cx="7715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0940"/>
          </w:cols>
          <w:pgMar w:left="440" w:top="270" w:right="51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in Global Securities only.</w:t>
      </w:r>
    </w:p>
    <w:p>
      <w:pPr>
        <w:spacing w:after="0" w:line="158" w:lineRule="exact"/>
        <w:rPr>
          <w:sz w:val="20"/>
          <w:szCs w:val="20"/>
          <w:color w:val="auto"/>
        </w:rPr>
      </w:pPr>
    </w:p>
    <w:p>
      <w:pPr>
        <w:sectPr>
          <w:pgSz w:w="11900" w:h="16838" w:orient="portrait"/>
          <w:cols w:equalWidth="0" w:num="2">
            <w:col w:w="60" w:space="360"/>
            <w:col w:w="10520"/>
          </w:cols>
          <w:pgMar w:left="440" w:top="270" w:right="51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7"/>
          <w:szCs w:val="17"/>
          <w:color w:val="auto"/>
        </w:rPr>
        <w:t>A-2-12</w:t>
      </w:r>
    </w:p>
    <w:p>
      <w:pPr>
        <w:sectPr>
          <w:pgSz w:w="11900" w:h="16838" w:orient="portrait"/>
          <w:cols w:equalWidth="0" w:num="1">
            <w:col w:w="10940"/>
          </w:cols>
          <w:pgMar w:left="440" w:top="270" w:right="519" w:bottom="1440" w:gutter="0" w:footer="0" w:header="0"/>
          <w:type w:val="continuous"/>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LEGEND FOR RESTRICTED SECURITIES]</w:t>
      </w:r>
    </w:p>
    <w:p>
      <w:pPr>
        <w:spacing w:after="0" w:line="225"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Any Restricted Note authenticated and delivered hereunder shall bear a legend (which would be in addition to any other legends required in the case of a Global Note) in substantially the following form:</w:t>
      </w:r>
    </w:p>
    <w:p>
      <w:pPr>
        <w:spacing w:after="0" w:line="54" w:lineRule="exact"/>
        <w:rPr>
          <w:sz w:val="20"/>
          <w:szCs w:val="20"/>
          <w:color w:val="auto"/>
        </w:rPr>
      </w:pPr>
    </w:p>
    <w:p>
      <w:pPr>
        <w:ind w:left="440" w:right="20"/>
        <w:spacing w:after="0" w:line="267" w:lineRule="auto"/>
        <w:rPr>
          <w:sz w:val="20"/>
          <w:szCs w:val="20"/>
          <w:color w:val="auto"/>
        </w:rPr>
      </w:pPr>
      <w:r>
        <w:rPr>
          <w:rFonts w:ascii="Times New Roman" w:cs="Times New Roman" w:eastAsia="Times New Roman" w:hAnsi="Times New Roman"/>
          <w:sz w:val="17"/>
          <w:szCs w:val="17"/>
          <w:color w:val="auto"/>
        </w:rPr>
        <w:t>THE SECURITY (OR ITS PREDECESSOR) EVIDENCED HEREBY WAS ORIGINALLY ISSUED IN A TRANSACTION EXEMPT FROM REGISTRATION UNDER SECTION 5 OF THE UNITED STATES SECURITIES ACT OF 1933, AS AMENDED (THE “SECURITIES ACT”), AND THE SECURITY EVIDENCED HEREBY MAY NOT BE OFFERED, SOLD OR OTHERWISE TRANSFERRED IN THE ABSENCE OF SUCH REGISTRATION OR AN APPLICABLE EXEMPTION THEREFROM. EACH PURCHASER OF THE SECURITY EVIDENCED HEREBY IS HEREBY NOTIFIED THAT THE SELLER MAY BE RELYING ON THE EXEMPTION FROM THE PROVISIONS OF SECTION 5 OF THE SECURITIES ACT PROVIDED BY RULE 144A THEREUNDER. THE HOLDER OF THE SECURITY EVIDENCED HEREBY AGREES FOR THE BENEFIT OF THE ISSUER THAT (A) SUCH SECURITY MAY BE RESOLD, PLEDGED OR OTHERWISE TRANSFERRED, ONLY (1)(a) INSIDE THE UNITED STATES TO A PERSON WHO THE SELLER REASONABLY BELIEVES IS A QUALIFIED INSTITUTIONAL BUYER (AS DEFINED IN RULE 144A UNDER THE SECURITIES ACT) PURCHASING FOR ITS OWN ACCOUNT OR FOR THE ACCOUNT OF A QUALIFIED INSTITUTIONAL BUYER IN A TRANSACTION MEETING THE REQUIREMENTS OF RULE 144A UNDER THE SECURITIES ACT, (b) OUTSIDE THE UNITED STATES TO A FOREIGN PERSON IN A TRANSACTION MEETING THE REQUIREMENTS OF RULE 903 OR RULE 904 OF REGULATION S UNDER THE SECURITIES ACT,</w:t>
      </w:r>
    </w:p>
    <w:p>
      <w:pPr>
        <w:spacing w:after="0" w:line="1" w:lineRule="exact"/>
        <w:rPr>
          <w:sz w:val="20"/>
          <w:szCs w:val="20"/>
          <w:color w:val="auto"/>
        </w:rPr>
      </w:pPr>
    </w:p>
    <w:p>
      <w:pPr>
        <w:ind w:left="440" w:right="20" w:hanging="4"/>
        <w:spacing w:after="0" w:line="251" w:lineRule="auto"/>
        <w:tabs>
          <w:tab w:leader="none" w:pos="68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EXEMPTION FROM REGISTRATION UNDER THE SECURITIES ACT PROVIDED BY RULE 144 THEREUNDER (IF APPLICABLE) OR (d) IN ACCORDANCE WITH ANOTHER EXEMPTION FROM THE REGISTRATION REQUIREMENTS OF THE SECURITIES ACT (AND BASED UPON AN OPINION OF COUNSEL ACCEPTABLE TO THE ISSUER IF THE ISSUER SO REQUESTS), (2) TO THE ISSUER OR (3) PURSUANT TO AN EFFECTIVE REGISTRATION STATEMENT AND, IN EACH CASE, IN ACCORDANCE WITH ANY APPLICABLE SECURITIES LAWS OF ANY STATE OF THE UNITED STATES OR ANY OTHER APPLICABLE JURISDICTION AND (B) THE HOLDER WILL, AND EACH SUBSEQUENT HOLDER IS REQUIRED TO, NOTIFY ANY PURCHASER OF THE SECURITY EVIDENCED HEREBY OF THE RESALE RESTRICTIONS SET FORTH IN CLAUSE (A) ABOVE. NO REPRESENTATION CAN BE MADE AS TO THE AVAILABILITY OF THE EXEMPTION PROVIDED BY RULE 144 FOR RESALE OF THE SECURITY EVIDENCED HEREBY.</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020"/>
          </w:cols>
          <w:pgMar w:left="440" w:top="270" w:right="4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LEGEND FOR GLOBAL NOTE]</w:t>
      </w:r>
    </w:p>
    <w:p>
      <w:pPr>
        <w:spacing w:after="0" w:line="225"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Any Global Note authenticated and delivered hereunder shall bear a legend (which would be in addition to any other legends required in the case of a Restricted Note) in substantially the following form:</w:t>
      </w:r>
    </w:p>
    <w:p>
      <w:pPr>
        <w:spacing w:after="0" w:line="5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THIS NOTE IS A GLOBAL NOTE WITHIN THE MEANING OF THE INDENTURE HEREINAFTER REFERRED TO AND IS REGISTERED IN THE NAME OF A DEPOSITARY OR A NOMINEE OF A DEPOSITARY. THIS NOTE IS NOT EXCHANGEABLE FOR NOTES REGISTERED IN THE NAME OF A PERSON OTHER THAN THE DEPOSITARY OR ITS NOMINEE EXCEPT IN THE LIMITED CIRCUMSTANCES DESCRIBED IN THE INDENTURE, AND NO TRANSFER OF THIS NOTE (OTHER THAN A TRANSFER OF THIS NOTE AS A WHOLE BY THE DEPOSITARY TO A NOMINEE OF THE DEPOSITARY OR BY A NOMINEE OF THE DEPOSITARY TO THE DEPOSITARY OR ANOTHER NOMINEE OF THE DEPOSITARY) MAY BE REGISTERED EXCEPT IN THE LIMITED CIRCUMSTANCES DESCRIBED IN THE INDENTURE.</w:t>
      </w:r>
    </w:p>
    <w:p>
      <w:pPr>
        <w:spacing w:after="0" w:line="18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TO THE ISSUER OR ITS AGENT FOR REGISTRATION OF TRANSFER, EXCHANGE, OR PAYMENT, AND ANY CERTIFICATE ISSUED IS REGISTERED IN THE NAME OF CEDE &amp; CO. OR IN SUCH OTHER NAME AS IS REQUESTED BY AN AUTHORIZED REPRESENTATIVE OF DTC (AND ANY PAYMENT IS MADE TO CEDE &amp; CO. OR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020"/>
          </w:cols>
          <w:pgMar w:left="440" w:top="270" w:right="4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LEGEND FOR REGULATION S NOTE]</w:t>
      </w:r>
    </w:p>
    <w:p>
      <w:pPr>
        <w:spacing w:after="0" w:line="225" w:lineRule="exact"/>
        <w:rPr>
          <w:sz w:val="20"/>
          <w:szCs w:val="20"/>
          <w:color w:val="auto"/>
        </w:rPr>
      </w:pPr>
    </w:p>
    <w:p>
      <w:pPr>
        <w:ind w:right="600" w:firstLine="991"/>
        <w:spacing w:after="0" w:line="282" w:lineRule="auto"/>
        <w:rPr>
          <w:sz w:val="20"/>
          <w:szCs w:val="20"/>
          <w:color w:val="auto"/>
        </w:rPr>
      </w:pPr>
      <w:r>
        <w:rPr>
          <w:rFonts w:ascii="Times New Roman" w:cs="Times New Roman" w:eastAsia="Times New Roman" w:hAnsi="Times New Roman"/>
          <w:sz w:val="18"/>
          <w:szCs w:val="18"/>
          <w:color w:val="auto"/>
        </w:rPr>
        <w:t>Any Regulation S Note authenticated and delivered hereunder shall bear a legend (which would be in addition to any other legends required in the case of a Restricted Note) in substantially the following form:</w:t>
      </w:r>
    </w:p>
    <w:p>
      <w:pPr>
        <w:spacing w:after="0" w:line="5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BY ITS ACQUISITION HEREOF, THE HOLDER HEREOF REPRESENTS THAT IT IS NOT A U.S. PERSON, NOR IS IT PURCHASING FOR THE ACCOUNT OF A U.S. PERSON, AND IS ACQUIRING THIS NOTE IN AN OFFSHORE TRANSACTION IN ACCORDANCE WITH REGULATION S UNDER THE SECURITIES ACT.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w:t>
      </w:r>
    </w:p>
    <w:p>
      <w:pPr>
        <w:sectPr>
          <w:pgSz w:w="11900" w:h="16838" w:orient="portrait"/>
          <w:cols w:equalWidth="0" w:num="1">
            <w:col w:w="11020"/>
          </w:cols>
          <w:pgMar w:left="440" w:top="270" w:right="4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E</w:t>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CERTIFICATE OF TRANSFER</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WESCO Distribution,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225 West Station Square Drive, Suite 700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Pittsburgh, Pennsylvania 15219-1122          </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Facsimile: (412) 222-7566</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225 W. Station Square Drive, Suite 380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Pittsburgh, PA 15219</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Facsimile: (412)-552-2323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Corporate Trust Services</w:t>
      </w:r>
    </w:p>
    <w:p>
      <w:pPr>
        <w:spacing w:after="0" w:line="234" w:lineRule="exact"/>
        <w:rPr>
          <w:sz w:val="20"/>
          <w:szCs w:val="20"/>
          <w:color w:val="auto"/>
        </w:rPr>
      </w:pPr>
    </w:p>
    <w:p>
      <w:pPr>
        <w:ind w:left="984"/>
        <w:spacing w:after="0"/>
        <w:tabs>
          <w:tab w:leader="none" w:pos="1404"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color w:val="auto"/>
        </w:rPr>
        <w:t>WESCO Distribution, Inc.</w:t>
      </w:r>
    </w:p>
    <w:p>
      <w:pPr>
        <w:spacing w:after="0" w:line="252" w:lineRule="exact"/>
        <w:rPr>
          <w:sz w:val="20"/>
          <w:szCs w:val="20"/>
          <w:color w:val="auto"/>
        </w:rPr>
      </w:pPr>
    </w:p>
    <w:p>
      <w:pPr>
        <w:ind w:left="1764"/>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[6.375][6.625]% Senior Notes due 20[29][32]</w:t>
      </w:r>
    </w:p>
    <w:p>
      <w:pPr>
        <w:spacing w:after="0" w:line="117" w:lineRule="exact"/>
        <w:rPr>
          <w:sz w:val="20"/>
          <w:szCs w:val="20"/>
          <w:color w:val="auto"/>
        </w:rPr>
      </w:pPr>
    </w:p>
    <w:p>
      <w:pPr>
        <w:ind w:left="2504"/>
        <w:spacing w:after="0"/>
        <w:rPr>
          <w:sz w:val="20"/>
          <w:szCs w:val="20"/>
          <w:color w:val="auto"/>
        </w:rPr>
      </w:pPr>
      <w:r>
        <w:rPr>
          <w:rFonts w:ascii="Times New Roman" w:cs="Times New Roman" w:eastAsia="Times New Roman" w:hAnsi="Times New Roman"/>
          <w:sz w:val="18"/>
          <w:szCs w:val="18"/>
          <w:color w:val="auto"/>
        </w:rPr>
        <w:t>(CUSIP _____________)</w:t>
      </w:r>
    </w:p>
    <w:p>
      <w:pPr>
        <w:spacing w:after="0" w:line="27" w:lineRule="exact"/>
        <w:rPr>
          <w:sz w:val="20"/>
          <w:szCs w:val="20"/>
          <w:color w:val="auto"/>
        </w:rPr>
      </w:pPr>
    </w:p>
    <w:p>
      <w:pPr>
        <w:ind w:left="2504"/>
        <w:spacing w:after="0"/>
        <w:rPr>
          <w:sz w:val="20"/>
          <w:szCs w:val="20"/>
          <w:color w:val="auto"/>
        </w:rPr>
      </w:pPr>
      <w:r>
        <w:rPr>
          <w:rFonts w:ascii="Times New Roman" w:cs="Times New Roman" w:eastAsia="Times New Roman" w:hAnsi="Times New Roman"/>
          <w:sz w:val="18"/>
          <w:szCs w:val="18"/>
          <w:color w:val="auto"/>
        </w:rPr>
        <w:t>(ISIN _______________)</w:t>
      </w:r>
    </w:p>
    <w:p>
      <w:pPr>
        <w:spacing w:after="0" w:line="207" w:lineRule="exact"/>
        <w:rPr>
          <w:sz w:val="20"/>
          <w:szCs w:val="20"/>
          <w:color w:val="auto"/>
        </w:rPr>
      </w:pPr>
    </w:p>
    <w:p>
      <w:pPr>
        <w:ind w:left="4" w:right="80"/>
        <w:spacing w:after="0" w:line="272" w:lineRule="auto"/>
        <w:rPr>
          <w:sz w:val="20"/>
          <w:szCs w:val="20"/>
          <w:color w:val="auto"/>
        </w:rPr>
      </w:pPr>
      <w:r>
        <w:rPr>
          <w:rFonts w:ascii="Times New Roman" w:cs="Times New Roman" w:eastAsia="Times New Roman" w:hAnsi="Times New Roman"/>
          <w:sz w:val="17"/>
          <w:szCs w:val="17"/>
          <w:color w:val="auto"/>
        </w:rPr>
        <w:t>Reference is hereby made to the Indenture, dated as of March 7, 2024 (the “</w:t>
      </w:r>
      <w:r>
        <w:rPr>
          <w:rFonts w:ascii="Times New Roman" w:cs="Times New Roman" w:eastAsia="Times New Roman" w:hAnsi="Times New Roman"/>
          <w:sz w:val="17"/>
          <w:szCs w:val="17"/>
          <w:u w:val="single" w:color="auto"/>
          <w:color w:val="auto"/>
        </w:rPr>
        <w:t>Indenture</w:t>
      </w:r>
      <w:r>
        <w:rPr>
          <w:rFonts w:ascii="Times New Roman" w:cs="Times New Roman" w:eastAsia="Times New Roman" w:hAnsi="Times New Roman"/>
          <w:sz w:val="17"/>
          <w:szCs w:val="17"/>
          <w:color w:val="auto"/>
        </w:rPr>
        <w:t>”), by and among WESCO Distribution, Inc. (the “</w:t>
      </w:r>
      <w:r>
        <w:rPr>
          <w:rFonts w:ascii="Times New Roman" w:cs="Times New Roman" w:eastAsia="Times New Roman" w:hAnsi="Times New Roman"/>
          <w:sz w:val="17"/>
          <w:szCs w:val="17"/>
          <w:u w:val="single" w:color="auto"/>
          <w:color w:val="auto"/>
        </w:rPr>
        <w:t>Issuer</w:t>
      </w:r>
      <w:r>
        <w:rPr>
          <w:rFonts w:ascii="Times New Roman" w:cs="Times New Roman" w:eastAsia="Times New Roman" w:hAnsi="Times New Roman"/>
          <w:sz w:val="17"/>
          <w:szCs w:val="17"/>
          <w:color w:val="auto"/>
        </w:rPr>
        <w:t>”), the Parent Guarantor, the Subsidiary Guarantor and U.S. Bank Trust Company, National Association, as trustee. Capitalized terms used but not defined herein shall have the meanings given to them in the Indenture. ______________ (the “</w:t>
      </w:r>
      <w:r>
        <w:rPr>
          <w:rFonts w:ascii="Times New Roman" w:cs="Times New Roman" w:eastAsia="Times New Roman" w:hAnsi="Times New Roman"/>
          <w:sz w:val="17"/>
          <w:szCs w:val="17"/>
          <w:u w:val="single" w:color="auto"/>
          <w:color w:val="auto"/>
        </w:rPr>
        <w:t>Transferor</w:t>
      </w:r>
      <w:r>
        <w:rPr>
          <w:rFonts w:ascii="Times New Roman" w:cs="Times New Roman" w:eastAsia="Times New Roman" w:hAnsi="Times New Roman"/>
          <w:sz w:val="17"/>
          <w:szCs w:val="17"/>
          <w:color w:val="auto"/>
        </w:rPr>
        <w:t>”) owns and proposes to transfer the Note[s] or interest</w:t>
      </w:r>
    </w:p>
    <w:p>
      <w:pPr>
        <w:spacing w:after="0" w:line="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such Note[s] specified in Annex A hereto, in the principal amount of ___________ in such Note[s] or interests (the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to __________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as further specified in Annex A hereto. In connection with the Transfer, the Transferor hereby certifies that:</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[CHECK ALL THAT APPLY]</w:t>
      </w:r>
    </w:p>
    <w:p>
      <w:pPr>
        <w:spacing w:after="0" w:line="184" w:lineRule="exact"/>
        <w:rPr>
          <w:sz w:val="20"/>
          <w:szCs w:val="20"/>
          <w:color w:val="auto"/>
        </w:rPr>
      </w:pPr>
    </w:p>
    <w:p>
      <w:pPr>
        <w:ind w:left="4" w:right="120" w:hanging="4"/>
        <w:spacing w:after="0" w:line="226" w:lineRule="exact"/>
        <w:tabs>
          <w:tab w:leader="none" w:pos="184" w:val="left"/>
        </w:tabs>
        <w:numPr>
          <w:ilvl w:val="0"/>
          <w:numId w:val="13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Check if Transferee will take delivery of a beneficial interest in a Rule 144A Global Note or a Physical Note pursuant to Rule 144A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is being effected pursuant to and in accordance with Rule 144A under the United States Securities Act of 1933, as amended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and, accordingly, the Transferor hereby further certifies that the beneficial interest or Physical Note is being transferred to a Person that the Transferor reasonably believed and believes is purchasing the beneficial interest or Physical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w:t>
      </w:r>
    </w:p>
    <w:p>
      <w:pPr>
        <w:spacing w:after="0" w:line="13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E-1</w:t>
      </w:r>
    </w:p>
    <w:p>
      <w:pPr>
        <w:sectPr>
          <w:pgSz w:w="11900" w:h="16838" w:orient="portrait"/>
          <w:cols w:equalWidth="0" w:num="1">
            <w:col w:w="11024"/>
          </w:cols>
          <w:pgMar w:left="436" w:top="270" w:right="439" w:bottom="1440" w:gutter="0" w:footer="0" w:header="0"/>
        </w:sectPr>
      </w:pPr>
    </w:p>
    <w:bookmarkStart w:id="131" w:name="page132"/>
    <w:bookmarkEnd w:id="131"/>
    <w:p>
      <w:pPr>
        <w:jc w:val="both"/>
        <w:ind w:left="4" w:right="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 is in compliance with any applicable blue sky securities laws of any state of the United States. Upon consummation of the proposed Transfer in accordance with the terms of the Indenture, the transferred beneficial interest or Physical Note will be subject to the restrictions on transfer enumerated in the Private Placement Legend printed on the Rule 144A Global Note and/or the Physical Note and in the Indenture and the Securities Act.</w:t>
      </w:r>
    </w:p>
    <w:p>
      <w:pPr>
        <w:spacing w:after="0" w:line="117" w:lineRule="exact"/>
        <w:rPr>
          <w:sz w:val="20"/>
          <w:szCs w:val="20"/>
          <w:color w:val="auto"/>
        </w:rPr>
      </w:pPr>
    </w:p>
    <w:p>
      <w:pPr>
        <w:ind w:left="4" w:hanging="4"/>
        <w:spacing w:after="0" w:line="221" w:lineRule="exact"/>
        <w:tabs>
          <w:tab w:leader="none" w:pos="184" w:val="left"/>
        </w:tabs>
        <w:numPr>
          <w:ilvl w:val="0"/>
          <w:numId w:val="13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Check if Transferee will take delivery of a beneficial interest in a Regulation S Global Note or a Physical Note pursuant to Regulation 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Transfer is being effected pursuant to and in accordance with Rule 903 or Rule 904 under the 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 Purchaser). Upon consummation of the proposed transfer in accordance with the terms of the Indenture, the transferred beneficial interest or Physical Note will be subject to the restrictions on Transfer enumerated in the Private Placement Legend printed on the Regulation S Global Note and/or the Physical Note and in the Indenture and the Securities Act.</w:t>
      </w:r>
    </w:p>
    <w:p>
      <w:pPr>
        <w:spacing w:after="0" w:line="158" w:lineRule="exact"/>
        <w:rPr>
          <w:rFonts w:ascii="Times New Roman" w:cs="Times New Roman" w:eastAsia="Times New Roman" w:hAnsi="Times New Roman"/>
          <w:sz w:val="18"/>
          <w:szCs w:val="18"/>
          <w:color w:val="auto"/>
        </w:rPr>
      </w:pPr>
    </w:p>
    <w:p>
      <w:pPr>
        <w:ind w:left="4" w:right="20" w:hanging="4"/>
        <w:spacing w:after="0" w:line="231" w:lineRule="exact"/>
        <w:tabs>
          <w:tab w:leader="none" w:pos="184" w:val="left"/>
        </w:tabs>
        <w:numPr>
          <w:ilvl w:val="0"/>
          <w:numId w:val="13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Check and complete if Transferee will take delivery of a beneficial interest in the Global Note or a Physical Note pursuant to any provision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of the Securities Act other than Rule 144A or Regulation 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Transfer is being effected in compliance with the transfer restrictions applicable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beneficial interests in Restricted Global Notes and Restricted Physical Notes and pursuant to and in accordance with the Securities Act and any applicable blue sky securities laws of any state of the United States, and accordingly the Transferor hereby further certifies that (check one):</w:t>
      </w:r>
    </w:p>
    <w:p>
      <w:pPr>
        <w:spacing w:after="0" w:line="50" w:lineRule="exact"/>
        <w:rPr>
          <w:rFonts w:ascii="Times New Roman" w:cs="Times New Roman" w:eastAsia="Times New Roman" w:hAnsi="Times New Roman"/>
          <w:sz w:val="18"/>
          <w:szCs w:val="18"/>
          <w:color w:val="auto"/>
        </w:rPr>
      </w:pPr>
    </w:p>
    <w:p>
      <w:pPr>
        <w:ind w:left="1104" w:hanging="241"/>
        <w:spacing w:after="0" w:line="207" w:lineRule="exact"/>
        <w:tabs>
          <w:tab w:leader="none" w:pos="1104" w:val="left"/>
        </w:tabs>
        <w:numPr>
          <w:ilvl w:val="1"/>
          <w:numId w:val="13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effected pursuant to and in accordance with Rule 144 under the Securities Act;</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or</w:t>
      </w:r>
    </w:p>
    <w:p>
      <w:pPr>
        <w:spacing w:after="0" w:line="76" w:lineRule="exact"/>
        <w:rPr>
          <w:sz w:val="20"/>
          <w:szCs w:val="20"/>
          <w:color w:val="auto"/>
        </w:rPr>
      </w:pPr>
    </w:p>
    <w:p>
      <w:pPr>
        <w:ind w:left="5424" w:right="4800" w:hanging="4561"/>
        <w:spacing w:after="0" w:line="300" w:lineRule="exact"/>
        <w:tabs>
          <w:tab w:leader="none" w:pos="1109" w:val="left"/>
        </w:tabs>
        <w:numPr>
          <w:ilvl w:val="0"/>
          <w:numId w:val="13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effected to the Issuer or a Subsidiary thereof; or</w:t>
      </w:r>
    </w:p>
    <w:p>
      <w:pPr>
        <w:spacing w:after="0" w:line="49" w:lineRule="exact"/>
        <w:rPr>
          <w:rFonts w:ascii="Times New Roman" w:cs="Times New Roman" w:eastAsia="Times New Roman" w:hAnsi="Times New Roman"/>
          <w:sz w:val="18"/>
          <w:szCs w:val="18"/>
          <w:color w:val="auto"/>
        </w:rPr>
      </w:pPr>
    </w:p>
    <w:p>
      <w:pPr>
        <w:ind w:left="444" w:right="380" w:firstLine="419"/>
        <w:spacing w:after="0" w:line="245" w:lineRule="exact"/>
        <w:tabs>
          <w:tab w:leader="none" w:pos="1112" w:val="left"/>
        </w:tabs>
        <w:numPr>
          <w:ilvl w:val="0"/>
          <w:numId w:val="13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effected pursuant to an effective registration statement under the Securities Act and in compliance with the prospectus delivery requirements of the Securities Act;</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E-2</w:t>
      </w:r>
    </w:p>
    <w:p>
      <w:pPr>
        <w:sectPr>
          <w:pgSz w:w="11900" w:h="16838" w:orient="portrait"/>
          <w:cols w:equalWidth="0" w:num="1">
            <w:col w:w="11004"/>
          </w:cols>
          <w:pgMar w:left="436" w:top="270" w:right="459" w:bottom="1440" w:gutter="0" w:footer="0" w:header="0"/>
        </w:sectPr>
      </w:pPr>
    </w:p>
    <w:bookmarkStart w:id="132" w:name="page133"/>
    <w:bookmarkEnd w:id="132"/>
    <w:p>
      <w:pPr>
        <w:jc w:val="center"/>
        <w:ind w:right="-2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w:t>
      </w:r>
    </w:p>
    <w:p>
      <w:pPr>
        <w:spacing w:after="0" w:line="76" w:lineRule="exact"/>
        <w:rPr>
          <w:sz w:val="20"/>
          <w:szCs w:val="20"/>
          <w:color w:val="auto"/>
        </w:rPr>
      </w:pPr>
    </w:p>
    <w:p>
      <w:pPr>
        <w:ind w:left="444" w:firstLine="419"/>
        <w:spacing w:after="0" w:line="223" w:lineRule="exact"/>
        <w:tabs>
          <w:tab w:leader="none" w:pos="1122" w:val="left"/>
        </w:tabs>
        <w:numPr>
          <w:ilvl w:val="1"/>
          <w:numId w:val="13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effected pursuant to an exemption from the registration requirements of the Securities Act other than Rule 144A, Rule 144 or Rule 904, and the Transferor hereby further certifies that it has not engaged in any general solicitation within the meaning of Regulation D under the Securities Act and the Transfer complies with the transfer restrictions applicable to beneficial interests in a Restricted Global Note or Restricted Physical Notes and the requirements of the exemption claimed, which certification is supported by, if such Transfer is in respect of a principal amount of Notes at the time of transfer of less than $250,000,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or Physical Note will be subject to the restrictions on transfer enumerated in the Private Placement Legend printed on the Global Note and/or the Physical Notes and in the Indenture and the Securities Act.</w:t>
      </w:r>
    </w:p>
    <w:p>
      <w:pPr>
        <w:spacing w:after="0" w:line="157" w:lineRule="exact"/>
        <w:rPr>
          <w:rFonts w:ascii="Times New Roman" w:cs="Times New Roman" w:eastAsia="Times New Roman" w:hAnsi="Times New Roman"/>
          <w:sz w:val="18"/>
          <w:szCs w:val="18"/>
          <w:color w:val="auto"/>
        </w:rPr>
      </w:pPr>
    </w:p>
    <w:p>
      <w:pPr>
        <w:ind w:left="184" w:hanging="184"/>
        <w:spacing w:after="0" w:line="207" w:lineRule="exact"/>
        <w:tabs>
          <w:tab w:leader="none" w:pos="184" w:val="left"/>
        </w:tabs>
        <w:numPr>
          <w:ilvl w:val="0"/>
          <w:numId w:val="13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Transferee will take delivery of a beneficial interest in an Unrestricted Global Note or an Unrestricted Physical Note.</w:t>
      </w:r>
    </w:p>
    <w:p>
      <w:pPr>
        <w:spacing w:after="0" w:line="225" w:lineRule="exact"/>
        <w:rPr>
          <w:rFonts w:ascii="Times New Roman" w:cs="Times New Roman" w:eastAsia="Times New Roman" w:hAnsi="Times New Roman"/>
          <w:sz w:val="18"/>
          <w:szCs w:val="18"/>
          <w:color w:val="auto"/>
        </w:rPr>
      </w:pPr>
    </w:p>
    <w:p>
      <w:pPr>
        <w:ind w:left="4" w:right="160" w:firstLine="987"/>
        <w:spacing w:after="0" w:line="226" w:lineRule="exact"/>
        <w:tabs>
          <w:tab w:leader="none" w:pos="1240" w:val="left"/>
        </w:tabs>
        <w:numPr>
          <w:ilvl w:val="2"/>
          <w:numId w:val="13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Transfer is pursuant to Rule 144. </w:t>
      </w:r>
      <w:r>
        <w:rPr>
          <w:rFonts w:ascii="Times New Roman" w:cs="Times New Roman" w:eastAsia="Times New Roman" w:hAnsi="Times New Roman"/>
          <w:sz w:val="18"/>
          <w:szCs w:val="18"/>
          <w:color w:val="auto"/>
        </w:rPr>
        <w:t>(i) The Transfer is being effected pursuant to and in accordance with Rule 144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Physical Note will no longer be subject to the restrictions on transfer enumerated in the Private Placement Legend printed on the Restricted Global Notes, on Restricted Physical Notes and in the Indenture.</w:t>
      </w:r>
    </w:p>
    <w:p>
      <w:pPr>
        <w:spacing w:after="0" w:line="161" w:lineRule="exact"/>
        <w:rPr>
          <w:rFonts w:ascii="Times New Roman" w:cs="Times New Roman" w:eastAsia="Times New Roman" w:hAnsi="Times New Roman"/>
          <w:sz w:val="18"/>
          <w:szCs w:val="18"/>
          <w:color w:val="auto"/>
        </w:rPr>
      </w:pPr>
    </w:p>
    <w:p>
      <w:pPr>
        <w:ind w:left="4" w:right="60" w:firstLine="987"/>
        <w:spacing w:after="0" w:line="226" w:lineRule="exact"/>
        <w:tabs>
          <w:tab w:leader="none" w:pos="1250" w:val="left"/>
        </w:tabs>
        <w:numPr>
          <w:ilvl w:val="2"/>
          <w:numId w:val="13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Transfer is pursuant to Regulation S. </w:t>
      </w:r>
      <w:r>
        <w:rPr>
          <w:rFonts w:ascii="Times New Roman" w:cs="Times New Roman" w:eastAsia="Times New Roman" w:hAnsi="Times New Roman"/>
          <w:sz w:val="18"/>
          <w:szCs w:val="18"/>
          <w:color w:val="auto"/>
        </w:rPr>
        <w:t>(i) The Transfer is being effected pursuant to and in accordance with Rule 903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Physical Note will no longer be subject to the restrictions on transfer enumerated in the Private Placement Legend printed on the Restricted Global Notes, on Restricted Physical Notes and in the Indenture.</w:t>
      </w:r>
    </w:p>
    <w:p>
      <w:pPr>
        <w:spacing w:after="0" w:line="161" w:lineRule="exact"/>
        <w:rPr>
          <w:rFonts w:ascii="Times New Roman" w:cs="Times New Roman" w:eastAsia="Times New Roman" w:hAnsi="Times New Roman"/>
          <w:sz w:val="18"/>
          <w:szCs w:val="18"/>
          <w:color w:val="auto"/>
        </w:rPr>
      </w:pPr>
    </w:p>
    <w:p>
      <w:pPr>
        <w:jc w:val="both"/>
        <w:ind w:left="4" w:right="460" w:firstLine="987"/>
        <w:spacing w:after="0" w:line="236" w:lineRule="exact"/>
        <w:tabs>
          <w:tab w:leader="none" w:pos="1240" w:val="left"/>
        </w:tabs>
        <w:numPr>
          <w:ilvl w:val="2"/>
          <w:numId w:val="13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Transfer is pursuant to Other Exemption. </w:t>
      </w:r>
      <w:r>
        <w:rPr>
          <w:rFonts w:ascii="Times New Roman" w:cs="Times New Roman" w:eastAsia="Times New Roman" w:hAnsi="Times New Roman"/>
          <w:sz w:val="18"/>
          <w:szCs w:val="18"/>
          <w:color w:val="auto"/>
        </w:rPr>
        <w:t>(i) The Transfer is being effected pursuant to and in compliance with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exemption from the registration requirements of the Securities Act other than Rule 144, Rule 903 or Rule 904 and in compliance with the transfer restrictions contained in the Indenture and any applicable blue sky securities</w:t>
      </w:r>
    </w:p>
    <w:p>
      <w:pPr>
        <w:spacing w:after="0" w:line="1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E-3</w:t>
      </w:r>
    </w:p>
    <w:p>
      <w:pPr>
        <w:sectPr>
          <w:pgSz w:w="11900" w:h="16838" w:orient="portrait"/>
          <w:cols w:equalWidth="0" w:num="1">
            <w:col w:w="11004"/>
          </w:cols>
          <w:pgMar w:left="436" w:top="270" w:right="459" w:bottom="1440" w:gutter="0" w:footer="0" w:header="0"/>
        </w:sectPr>
      </w:pPr>
    </w:p>
    <w:bookmarkStart w:id="133" w:name="page134"/>
    <w:bookmarkEnd w:id="133"/>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Physical Note will not be subject to the restrictions on transfer enumerated in the Private Placement Legend printed on the Restricted Global Notes or Restricted Physical Notes and in the Indenture.</w:t>
      </w:r>
    </w:p>
    <w:p>
      <w:pPr>
        <w:spacing w:after="0" w:line="139" w:lineRule="exact"/>
        <w:rPr>
          <w:sz w:val="20"/>
          <w:szCs w:val="20"/>
          <w:color w:val="auto"/>
        </w:rPr>
      </w:pPr>
    </w:p>
    <w:p>
      <w:pPr>
        <w:ind w:right="40" w:firstLine="987"/>
        <w:spacing w:after="0" w:line="226" w:lineRule="exact"/>
        <w:tabs>
          <w:tab w:leader="none" w:pos="1246" w:val="left"/>
        </w:tabs>
        <w:numPr>
          <w:ilvl w:val="0"/>
          <w:numId w:val="13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Transfer is pursuant to an Effective Registration Statement. </w:t>
      </w:r>
      <w:r>
        <w:rPr>
          <w:rFonts w:ascii="Times New Roman" w:cs="Times New Roman" w:eastAsia="Times New Roman" w:hAnsi="Times New Roman"/>
          <w:sz w:val="18"/>
          <w:szCs w:val="18"/>
          <w:color w:val="auto"/>
        </w:rPr>
        <w:t>(i) The Transfer is being effected pursuant to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compliance with an effective registration statement under the Securities Act and any applicable blue sky securities laws of any State of the United States and in compliance with the prospectus delivery requirements of the Securities Act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Physical Note will not be subject to the restrictions on transfer enumerated in the Private Placement Legend printed on the Restricted Global Notes or Restricted Physical Notes and in the Indenture.</w:t>
      </w:r>
    </w:p>
    <w:p>
      <w:pPr>
        <w:spacing w:after="0" w:line="20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certificate and the statements contained herein are made for your benefit and the benefit of the Issuer.</w:t>
      </w:r>
    </w:p>
    <w:p>
      <w:pPr>
        <w:spacing w:after="0" w:line="200" w:lineRule="exact"/>
        <w:rPr>
          <w:sz w:val="20"/>
          <w:szCs w:val="20"/>
          <w:color w:val="auto"/>
        </w:rPr>
      </w:pPr>
    </w:p>
    <w:p>
      <w:pPr>
        <w:spacing w:after="0" w:line="2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[Insert Name of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-7620</wp:posOffset>
            </wp:positionV>
            <wp:extent cx="8001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E-4</w:t>
      </w:r>
    </w:p>
    <w:p>
      <w:pPr>
        <w:sectPr>
          <w:pgSz w:w="11900" w:h="16838" w:orient="portrait"/>
          <w:cols w:equalWidth="0" w:num="1">
            <w:col w:w="11000"/>
          </w:cols>
          <w:pgMar w:left="440" w:top="270" w:right="459" w:bottom="1440" w:gutter="0" w:footer="0" w:header="0"/>
        </w:sectPr>
      </w:pPr>
    </w:p>
    <w:bookmarkStart w:id="134" w:name="page135"/>
    <w:bookmarkEnd w:id="134"/>
    <w:p>
      <w:pPr>
        <w:jc w:val="right"/>
        <w:ind w:right="26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 TO CERTIFICATE OF TRANSFER</w:t>
      </w:r>
    </w:p>
    <w:p>
      <w:pPr>
        <w:spacing w:after="0" w:line="256" w:lineRule="exact"/>
        <w:rPr>
          <w:sz w:val="20"/>
          <w:szCs w:val="20"/>
          <w:color w:val="auto"/>
        </w:rPr>
      </w:pPr>
    </w:p>
    <w:p>
      <w:pPr>
        <w:ind w:left="424" w:hanging="424"/>
        <w:spacing w:after="0"/>
        <w:tabs>
          <w:tab w:leader="none" w:pos="424"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Transferor owns and proposes to transfer the following:</w:t>
      </w:r>
    </w:p>
    <w:p>
      <w:pPr>
        <w:spacing w:after="0" w:line="117"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18"/>
          <w:szCs w:val="18"/>
          <w:color w:val="auto"/>
        </w:rPr>
        <w:t>[CHECK ONE]</w:t>
      </w:r>
    </w:p>
    <w:p>
      <w:pPr>
        <w:spacing w:after="0" w:line="211" w:lineRule="exact"/>
        <w:rPr>
          <w:sz w:val="20"/>
          <w:szCs w:val="20"/>
          <w:color w:val="auto"/>
        </w:rPr>
      </w:pPr>
    </w:p>
    <w:p>
      <w:pPr>
        <w:ind w:left="964" w:hanging="532"/>
        <w:spacing w:after="0" w:line="207" w:lineRule="exact"/>
        <w:tabs>
          <w:tab w:leader="none" w:pos="964" w:val="left"/>
        </w:tabs>
        <w:numPr>
          <w:ilvl w:val="1"/>
          <w:numId w:val="14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beneficial interest in a:</w:t>
      </w:r>
    </w:p>
    <w:p>
      <w:pPr>
        <w:spacing w:after="0" w:line="130" w:lineRule="exact"/>
        <w:rPr>
          <w:rFonts w:ascii="Times New Roman" w:cs="Times New Roman" w:eastAsia="Times New Roman" w:hAnsi="Times New Roman"/>
          <w:sz w:val="18"/>
          <w:szCs w:val="18"/>
          <w:color w:val="auto"/>
        </w:rPr>
      </w:pPr>
    </w:p>
    <w:p>
      <w:pPr>
        <w:ind w:left="1424" w:hanging="439"/>
        <w:spacing w:after="0" w:line="207" w:lineRule="exact"/>
        <w:tabs>
          <w:tab w:leader="none" w:pos="1424" w:val="left"/>
        </w:tabs>
        <w:numPr>
          <w:ilvl w:val="2"/>
          <w:numId w:val="14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144A Global Note (CUSIP ______) (ISIN ______), or</w:t>
      </w:r>
    </w:p>
    <w:p>
      <w:pPr>
        <w:spacing w:after="0" w:line="130" w:lineRule="exact"/>
        <w:rPr>
          <w:rFonts w:ascii="Times New Roman" w:cs="Times New Roman" w:eastAsia="Times New Roman" w:hAnsi="Times New Roman"/>
          <w:sz w:val="18"/>
          <w:szCs w:val="18"/>
          <w:color w:val="auto"/>
        </w:rPr>
      </w:pPr>
    </w:p>
    <w:p>
      <w:pPr>
        <w:ind w:left="1424" w:hanging="439"/>
        <w:spacing w:after="0" w:line="207" w:lineRule="exact"/>
        <w:tabs>
          <w:tab w:leader="none" w:pos="1424" w:val="left"/>
        </w:tabs>
        <w:numPr>
          <w:ilvl w:val="2"/>
          <w:numId w:val="14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Regulation S Global Note (CUSIP ______) (ISIN ______), or</w:t>
      </w:r>
    </w:p>
    <w:p>
      <w:pPr>
        <w:spacing w:after="0" w:line="130" w:lineRule="exact"/>
        <w:rPr>
          <w:rFonts w:ascii="Times New Roman" w:cs="Times New Roman" w:eastAsia="Times New Roman" w:hAnsi="Times New Roman"/>
          <w:sz w:val="18"/>
          <w:szCs w:val="18"/>
          <w:color w:val="auto"/>
        </w:rPr>
      </w:pPr>
    </w:p>
    <w:p>
      <w:pPr>
        <w:ind w:left="964" w:hanging="532"/>
        <w:spacing w:after="0" w:line="207" w:lineRule="exact"/>
        <w:tabs>
          <w:tab w:leader="none" w:pos="964" w:val="left"/>
        </w:tabs>
        <w:numPr>
          <w:ilvl w:val="1"/>
          <w:numId w:val="14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Restricted Physical Note.</w:t>
      </w:r>
    </w:p>
    <w:p>
      <w:pPr>
        <w:spacing w:after="0" w:line="29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Transfer the Transferee will hold:</w:t>
      </w:r>
    </w:p>
    <w:p>
      <w:pPr>
        <w:spacing w:after="0" w:line="117"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18"/>
          <w:szCs w:val="18"/>
          <w:color w:val="auto"/>
        </w:rPr>
        <w:t>[CHECK ONE]</w:t>
      </w:r>
    </w:p>
    <w:p>
      <w:pPr>
        <w:spacing w:after="0" w:line="90" w:lineRule="exact"/>
        <w:rPr>
          <w:sz w:val="20"/>
          <w:szCs w:val="20"/>
          <w:color w:val="auto"/>
        </w:rPr>
      </w:pPr>
    </w:p>
    <w:p>
      <w:pPr>
        <w:ind w:left="964" w:hanging="532"/>
        <w:spacing w:after="0" w:line="207" w:lineRule="exact"/>
        <w:tabs>
          <w:tab w:leader="none" w:pos="964" w:val="left"/>
        </w:tabs>
        <w:numPr>
          <w:ilvl w:val="0"/>
          <w:numId w:val="14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beneficial interest in the:</w:t>
      </w:r>
    </w:p>
    <w:p>
      <w:pPr>
        <w:spacing w:after="0" w:line="130" w:lineRule="exact"/>
        <w:rPr>
          <w:rFonts w:ascii="Times New Roman" w:cs="Times New Roman" w:eastAsia="Times New Roman" w:hAnsi="Times New Roman"/>
          <w:sz w:val="18"/>
          <w:szCs w:val="18"/>
          <w:color w:val="auto"/>
        </w:rPr>
      </w:pPr>
    </w:p>
    <w:p>
      <w:pPr>
        <w:ind w:left="1424" w:hanging="439"/>
        <w:spacing w:after="0" w:line="207" w:lineRule="exact"/>
        <w:tabs>
          <w:tab w:leader="none" w:pos="1424" w:val="left"/>
        </w:tabs>
        <w:numPr>
          <w:ilvl w:val="1"/>
          <w:numId w:val="14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144A Global Note (CUSIP _______) (ISIN ______), or</w:t>
      </w:r>
    </w:p>
    <w:p>
      <w:pPr>
        <w:spacing w:after="0" w:line="130" w:lineRule="exact"/>
        <w:rPr>
          <w:rFonts w:ascii="Times New Roman" w:cs="Times New Roman" w:eastAsia="Times New Roman" w:hAnsi="Times New Roman"/>
          <w:sz w:val="18"/>
          <w:szCs w:val="18"/>
          <w:color w:val="auto"/>
        </w:rPr>
      </w:pPr>
    </w:p>
    <w:p>
      <w:pPr>
        <w:ind w:left="1424" w:hanging="439"/>
        <w:spacing w:after="0" w:line="207" w:lineRule="exact"/>
        <w:tabs>
          <w:tab w:leader="none" w:pos="1424" w:val="left"/>
        </w:tabs>
        <w:numPr>
          <w:ilvl w:val="1"/>
          <w:numId w:val="14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Regulation S Global Note (CUSIP ______)(ISIN ______), or</w:t>
      </w:r>
    </w:p>
    <w:p>
      <w:pPr>
        <w:spacing w:after="0" w:line="130" w:lineRule="exact"/>
        <w:rPr>
          <w:rFonts w:ascii="Times New Roman" w:cs="Times New Roman" w:eastAsia="Times New Roman" w:hAnsi="Times New Roman"/>
          <w:sz w:val="18"/>
          <w:szCs w:val="18"/>
          <w:color w:val="auto"/>
        </w:rPr>
      </w:pPr>
    </w:p>
    <w:p>
      <w:pPr>
        <w:ind w:left="1424" w:hanging="439"/>
        <w:spacing w:after="0" w:line="207" w:lineRule="exact"/>
        <w:tabs>
          <w:tab w:leader="none" w:pos="1424" w:val="left"/>
        </w:tabs>
        <w:numPr>
          <w:ilvl w:val="1"/>
          <w:numId w:val="14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Unrestricted Global Note (CUSIP ______) (ISIN ______), or</w:t>
      </w:r>
    </w:p>
    <w:p>
      <w:pPr>
        <w:spacing w:after="0" w:line="130" w:lineRule="exact"/>
        <w:rPr>
          <w:rFonts w:ascii="Times New Roman" w:cs="Times New Roman" w:eastAsia="Times New Roman" w:hAnsi="Times New Roman"/>
          <w:sz w:val="18"/>
          <w:szCs w:val="18"/>
          <w:color w:val="auto"/>
        </w:rPr>
      </w:pPr>
    </w:p>
    <w:p>
      <w:pPr>
        <w:ind w:left="964" w:hanging="532"/>
        <w:spacing w:after="0" w:line="207" w:lineRule="exact"/>
        <w:tabs>
          <w:tab w:leader="none" w:pos="964" w:val="left"/>
        </w:tabs>
        <w:numPr>
          <w:ilvl w:val="0"/>
          <w:numId w:val="14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Restricted Physical Note; or</w:t>
      </w:r>
    </w:p>
    <w:p>
      <w:pPr>
        <w:spacing w:after="0" w:line="130" w:lineRule="exact"/>
        <w:rPr>
          <w:rFonts w:ascii="Times New Roman" w:cs="Times New Roman" w:eastAsia="Times New Roman" w:hAnsi="Times New Roman"/>
          <w:sz w:val="18"/>
          <w:szCs w:val="18"/>
          <w:color w:val="auto"/>
        </w:rPr>
      </w:pPr>
    </w:p>
    <w:p>
      <w:pPr>
        <w:ind w:left="964" w:hanging="532"/>
        <w:spacing w:after="0" w:line="207" w:lineRule="exact"/>
        <w:tabs>
          <w:tab w:leader="none" w:pos="964" w:val="left"/>
        </w:tabs>
        <w:numPr>
          <w:ilvl w:val="0"/>
          <w:numId w:val="14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Unrestricted Physical Note,</w:t>
      </w:r>
    </w:p>
    <w:p>
      <w:pPr>
        <w:spacing w:after="0" w:line="26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in accordance with the terms of the Indenture.</w:t>
      </w:r>
    </w:p>
    <w:p>
      <w:pPr>
        <w:spacing w:after="0" w:line="158" w:lineRule="exact"/>
        <w:rPr>
          <w:sz w:val="20"/>
          <w:szCs w:val="20"/>
          <w:color w:val="auto"/>
        </w:rPr>
      </w:pPr>
    </w:p>
    <w:p>
      <w:pPr>
        <w:ind w:left="5384"/>
        <w:spacing w:after="0"/>
        <w:rPr>
          <w:sz w:val="20"/>
          <w:szCs w:val="20"/>
          <w:color w:val="auto"/>
        </w:rPr>
      </w:pPr>
      <w:r>
        <w:rPr>
          <w:rFonts w:ascii="Times New Roman" w:cs="Times New Roman" w:eastAsia="Times New Roman" w:hAnsi="Times New Roman"/>
          <w:sz w:val="18"/>
          <w:szCs w:val="18"/>
          <w:color w:val="auto"/>
        </w:rPr>
        <w:t>E-5</w:t>
      </w:r>
    </w:p>
    <w:p>
      <w:pPr>
        <w:sectPr>
          <w:pgSz w:w="11900" w:h="16838" w:orient="portrait"/>
          <w:cols w:equalWidth="0" w:num="1">
            <w:col w:w="10023"/>
          </w:cols>
          <w:pgMar w:left="436" w:top="266" w:right="1440"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F</w:t>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CERTIFICATE OF EXCHANGE</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WESCO Distribution,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225 West Station Square Drive, Suite 700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Pittsburgh, Pennsylvania 15219-1122          </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Facsimile: (412) 222-7566</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225 W. Station Square Drive, Suite 380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Pittsburgh, PA 15219</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Facsimile: (412)-552-2323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Corporate Trust Services</w:t>
      </w:r>
    </w:p>
    <w:p>
      <w:pPr>
        <w:spacing w:after="0" w:line="9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re: WESCO Distribution, Inc.</w:t>
      </w:r>
    </w:p>
    <w:p>
      <w:pPr>
        <w:spacing w:after="0" w:line="252" w:lineRule="exact"/>
        <w:rPr>
          <w:sz w:val="20"/>
          <w:szCs w:val="20"/>
          <w:color w:val="auto"/>
        </w:rPr>
      </w:pPr>
    </w:p>
    <w:p>
      <w:pPr>
        <w:ind w:left="1764"/>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[6.375][6.625]% Senior Notes due 20[29][32]</w:t>
      </w:r>
    </w:p>
    <w:p>
      <w:pPr>
        <w:spacing w:after="0" w:line="117" w:lineRule="exact"/>
        <w:rPr>
          <w:sz w:val="20"/>
          <w:szCs w:val="20"/>
          <w:color w:val="auto"/>
        </w:rPr>
      </w:pPr>
    </w:p>
    <w:p>
      <w:pPr>
        <w:ind w:left="2504"/>
        <w:spacing w:after="0"/>
        <w:rPr>
          <w:sz w:val="20"/>
          <w:szCs w:val="20"/>
          <w:color w:val="auto"/>
        </w:rPr>
      </w:pPr>
      <w:r>
        <w:rPr>
          <w:rFonts w:ascii="Times New Roman" w:cs="Times New Roman" w:eastAsia="Times New Roman" w:hAnsi="Times New Roman"/>
          <w:sz w:val="18"/>
          <w:szCs w:val="18"/>
          <w:color w:val="auto"/>
        </w:rPr>
        <w:t>(CUSIP______________)</w:t>
      </w:r>
    </w:p>
    <w:p>
      <w:pPr>
        <w:spacing w:after="0" w:line="27" w:lineRule="exact"/>
        <w:rPr>
          <w:sz w:val="20"/>
          <w:szCs w:val="20"/>
          <w:color w:val="auto"/>
        </w:rPr>
      </w:pPr>
    </w:p>
    <w:p>
      <w:pPr>
        <w:ind w:left="2504"/>
        <w:spacing w:after="0"/>
        <w:rPr>
          <w:sz w:val="20"/>
          <w:szCs w:val="20"/>
          <w:color w:val="auto"/>
        </w:rPr>
      </w:pPr>
      <w:r>
        <w:rPr>
          <w:rFonts w:ascii="Times New Roman" w:cs="Times New Roman" w:eastAsia="Times New Roman" w:hAnsi="Times New Roman"/>
          <w:sz w:val="18"/>
          <w:szCs w:val="18"/>
          <w:color w:val="auto"/>
        </w:rPr>
        <w:t>(ISIN _______________)</w:t>
      </w:r>
    </w:p>
    <w:p>
      <w:pPr>
        <w:spacing w:after="0" w:line="207" w:lineRule="exact"/>
        <w:rPr>
          <w:sz w:val="20"/>
          <w:szCs w:val="20"/>
          <w:color w:val="auto"/>
        </w:rPr>
      </w:pPr>
    </w:p>
    <w:p>
      <w:pPr>
        <w:jc w:val="both"/>
        <w:ind w:left="4" w:right="340"/>
        <w:spacing w:after="0" w:line="266" w:lineRule="auto"/>
        <w:rPr>
          <w:sz w:val="20"/>
          <w:szCs w:val="20"/>
          <w:color w:val="auto"/>
        </w:rPr>
      </w:pPr>
      <w:r>
        <w:rPr>
          <w:rFonts w:ascii="Times New Roman" w:cs="Times New Roman" w:eastAsia="Times New Roman" w:hAnsi="Times New Roman"/>
          <w:sz w:val="18"/>
          <w:szCs w:val="18"/>
          <w:color w:val="auto"/>
        </w:rPr>
        <w:t>Reference is hereby made to the Indenture, dated as of March 7, 2024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by and among WESCO Distribution, Inc.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the Parent Guarantor, the Subsidiary Guarantor and U.S. Bank Trust Company, National Association, as trustee. Capitalized terms used but not defined herein shall have the meanings given to them in the Indenture.</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____________ (the “</w:t>
      </w:r>
      <w:r>
        <w:rPr>
          <w:rFonts w:ascii="Times New Roman" w:cs="Times New Roman" w:eastAsia="Times New Roman" w:hAnsi="Times New Roman"/>
          <w:sz w:val="18"/>
          <w:szCs w:val="18"/>
          <w:u w:val="single" w:color="auto"/>
          <w:color w:val="auto"/>
        </w:rPr>
        <w:t>Owner</w:t>
      </w:r>
      <w:r>
        <w:rPr>
          <w:rFonts w:ascii="Times New Roman" w:cs="Times New Roman" w:eastAsia="Times New Roman" w:hAnsi="Times New Roman"/>
          <w:sz w:val="18"/>
          <w:szCs w:val="18"/>
          <w:color w:val="auto"/>
        </w:rPr>
        <w:t>”) owns and proposes to exchange the Note[s] or interest in such Note[s] specified herein, in the principal</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amount of ____________ in such Note[s] or interests (the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In connection with the Exchange, the Owner hereby certifies that:</w:t>
      </w:r>
    </w:p>
    <w:p>
      <w:pPr>
        <w:spacing w:after="0" w:line="203" w:lineRule="exact"/>
        <w:rPr>
          <w:sz w:val="20"/>
          <w:szCs w:val="20"/>
          <w:color w:val="auto"/>
        </w:rPr>
      </w:pPr>
    </w:p>
    <w:p>
      <w:pPr>
        <w:ind w:left="4" w:right="580" w:hanging="4"/>
        <w:spacing w:after="0" w:line="286" w:lineRule="auto"/>
        <w:tabs>
          <w:tab w:leader="none" w:pos="184"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Exchange of Restricted Physical Notes or Beneficial Interests in a Restricted Global Note for Unrestricted Physical Notes or Beneficial Interests in an Unrestricted Global Note</w:t>
      </w:r>
    </w:p>
    <w:p>
      <w:pPr>
        <w:spacing w:after="0" w:line="118" w:lineRule="exact"/>
        <w:rPr>
          <w:rFonts w:ascii="Times New Roman" w:cs="Times New Roman" w:eastAsia="Times New Roman" w:hAnsi="Times New Roman"/>
          <w:sz w:val="18"/>
          <w:szCs w:val="18"/>
          <w:color w:val="auto"/>
        </w:rPr>
      </w:pPr>
    </w:p>
    <w:p>
      <w:pPr>
        <w:ind w:left="4" w:right="120" w:firstLine="987"/>
        <w:spacing w:after="0" w:line="231" w:lineRule="exact"/>
        <w:tabs>
          <w:tab w:leader="none" w:pos="1240" w:val="left"/>
        </w:tabs>
        <w:numPr>
          <w:ilvl w:val="1"/>
          <w:numId w:val="14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Check if Exchange is from beneficial interest in a Restricted Global Note to beneficial interest in an Unrestricted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connection with the Exchange of the Owner’s beneficial interest in a Restricted Global Note for a beneficial interest in an Unrestricted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 in an equal principal amount, the Owner hereby certifies (i) the beneficial interest is being acquired for the Owner’s own account without transfer, (ii) such Exchange has been effected in compliance with the transfer restrictions applicable to the Global</w:t>
      </w:r>
    </w:p>
    <w:p>
      <w:pPr>
        <w:spacing w:after="0" w:line="1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024"/>
          </w:cols>
          <w:pgMar w:left="436" w:top="270" w:right="439" w:bottom="1440" w:gutter="0" w:footer="0" w:header="0"/>
        </w:sectPr>
      </w:pPr>
    </w:p>
    <w:bookmarkStart w:id="136" w:name="page137"/>
    <w:bookmarkEnd w:id="136"/>
    <w:p>
      <w:pPr>
        <w:ind w:left="4" w:right="50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and pursuant to and in accordance with the United States Securities Act of 1933, as amended (the “</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(iii) the restrictions on transfer contained in the Indenture and the Private Placement Legend are not required in order to maintain compliance with the Securities Act and</w:t>
      </w:r>
    </w:p>
    <w:p>
      <w:pPr>
        <w:spacing w:after="0" w:line="1" w:lineRule="exact"/>
        <w:rPr>
          <w:sz w:val="20"/>
          <w:szCs w:val="20"/>
          <w:color w:val="auto"/>
        </w:rPr>
      </w:pPr>
    </w:p>
    <w:p>
      <w:pPr>
        <w:ind w:left="4" w:right="20" w:hanging="4"/>
        <w:spacing w:after="0" w:line="260" w:lineRule="auto"/>
        <w:tabs>
          <w:tab w:leader="none" w:pos="30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interest in an Unrestricted Global Note is being acquired in compliance with any applicable blue sky securities laws of any state of the United States.</w:t>
      </w:r>
    </w:p>
    <w:p>
      <w:pPr>
        <w:spacing w:after="0" w:line="140" w:lineRule="exact"/>
        <w:rPr>
          <w:rFonts w:ascii="Times New Roman" w:cs="Times New Roman" w:eastAsia="Times New Roman" w:hAnsi="Times New Roman"/>
          <w:sz w:val="18"/>
          <w:szCs w:val="18"/>
          <w:color w:val="auto"/>
        </w:rPr>
      </w:pPr>
    </w:p>
    <w:p>
      <w:pPr>
        <w:ind w:left="4" w:right="20" w:firstLine="987"/>
        <w:spacing w:after="0" w:line="226" w:lineRule="exact"/>
        <w:tabs>
          <w:tab w:leader="none" w:pos="1250" w:val="left"/>
        </w:tabs>
        <w:numPr>
          <w:ilvl w:val="1"/>
          <w:numId w:val="14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Check if Exchange is from Restricted Physical Note to beneficial interest in an Unrestricted Global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Owner’s Exchange of a Restricted Physical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Physical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61" w:lineRule="exact"/>
        <w:rPr>
          <w:rFonts w:ascii="Times New Roman" w:cs="Times New Roman" w:eastAsia="Times New Roman" w:hAnsi="Times New Roman"/>
          <w:sz w:val="18"/>
          <w:szCs w:val="18"/>
          <w:color w:val="auto"/>
        </w:rPr>
      </w:pPr>
    </w:p>
    <w:p>
      <w:pPr>
        <w:ind w:left="4" w:firstLine="987"/>
        <w:spacing w:after="0" w:line="226" w:lineRule="exact"/>
        <w:tabs>
          <w:tab w:leader="none" w:pos="1240" w:val="left"/>
        </w:tabs>
        <w:numPr>
          <w:ilvl w:val="1"/>
          <w:numId w:val="14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Check if Exchange is from Restricted Physical Note to Unrestricted Physical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connection with the Owner’s Exchange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Restricted Physical Note for an Unrestricted Physical Note, the Owner hereby certifies (i) the Unrestricted Physical Note is being acquired for the Owner’s own account without transfer, (ii) such Exchange has been effected in compliance with the transfer restrictions applicable to Restricted Physical Notes and pursuant to and in accordance with the Securities Act, (iii) the restrictions on transfer contained in the Indenture and the Private Placement Legend are not required in order to maintain compliance with the Securities Act and (iv) the Unrestricted Physical Note is being acquired in compliance with any applicable blue sky securities laws of any state of the United States.</w:t>
      </w:r>
    </w:p>
    <w:p>
      <w:pPr>
        <w:spacing w:after="0" w:line="198" w:lineRule="exact"/>
        <w:rPr>
          <w:sz w:val="20"/>
          <w:szCs w:val="20"/>
          <w:color w:val="auto"/>
        </w:rPr>
      </w:pPr>
    </w:p>
    <w:p>
      <w:pPr>
        <w:ind w:left="184" w:hanging="184"/>
        <w:spacing w:after="0"/>
        <w:tabs>
          <w:tab w:leader="none" w:pos="18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Exchange of Restricted Physical Notes for Restricted Physical Notes or Beneficial Interests in Restricted Global Notes.</w:t>
      </w:r>
    </w:p>
    <w:p>
      <w:pPr>
        <w:spacing w:after="0" w:line="188" w:lineRule="exact"/>
        <w:rPr>
          <w:rFonts w:ascii="Times New Roman" w:cs="Times New Roman" w:eastAsia="Times New Roman" w:hAnsi="Times New Roman"/>
          <w:sz w:val="18"/>
          <w:szCs w:val="18"/>
          <w:color w:val="auto"/>
        </w:rPr>
      </w:pPr>
    </w:p>
    <w:p>
      <w:pPr>
        <w:ind w:left="4" w:right="180" w:firstLine="987"/>
        <w:spacing w:after="0" w:line="224" w:lineRule="exact"/>
        <w:tabs>
          <w:tab w:leader="none" w:pos="1240" w:val="left"/>
        </w:tabs>
        <w:numPr>
          <w:ilvl w:val="1"/>
          <w:numId w:val="146"/>
        </w:numPr>
        <w:rPr>
          <w:rFonts w:ascii="Times New Roman" w:cs="Times New Roman" w:eastAsia="Times New Roman" w:hAnsi="Times New Roman"/>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Check if Exchange is from Restricted Physical Note to beneficial interest in a Restricted Global Note</w:t>
      </w:r>
      <w:r>
        <w:rPr>
          <w:rFonts w:ascii="Times New Roman" w:cs="Times New Roman" w:eastAsia="Times New Roman" w:hAnsi="Times New Roman"/>
          <w:sz w:val="17"/>
          <w:szCs w:val="17"/>
          <w:color w:val="auto"/>
        </w:rPr>
        <w:t>. In connection with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Exchange of the Owner’s Restricted Physical Note for a beneficial interest in the [CHECK ONE] __ Rule 144A Global Note, __Regulation S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13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004"/>
          </w:cols>
          <w:pgMar w:left="436" w:top="270" w:right="459" w:bottom="1440" w:gutter="0" w:footer="0" w:header="0"/>
        </w:sectPr>
      </w:pPr>
    </w:p>
    <w:bookmarkStart w:id="137" w:name="page138"/>
    <w:bookmarkEnd w:id="13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certificate and the statements contained herein are made for your benefit and the benefit of the Issuer.</w:t>
      </w:r>
    </w:p>
    <w:p>
      <w:pPr>
        <w:spacing w:after="0" w:line="200" w:lineRule="exact"/>
        <w:rPr>
          <w:sz w:val="20"/>
          <w:szCs w:val="20"/>
          <w:color w:val="auto"/>
        </w:rPr>
      </w:pPr>
    </w:p>
    <w:p>
      <w:pPr>
        <w:spacing w:after="0" w:line="282" w:lineRule="exact"/>
        <w:rPr>
          <w:sz w:val="20"/>
          <w:szCs w:val="20"/>
          <w:color w:val="auto"/>
        </w:rPr>
      </w:pPr>
    </w:p>
    <w:p>
      <w:pPr>
        <w:jc w:val="right"/>
        <w:ind w:right="339"/>
        <w:spacing w:after="0"/>
        <w:rPr>
          <w:sz w:val="20"/>
          <w:szCs w:val="20"/>
          <w:color w:val="auto"/>
        </w:rPr>
      </w:pPr>
      <w:r>
        <w:rPr>
          <w:rFonts w:ascii="Times New Roman" w:cs="Times New Roman" w:eastAsia="Times New Roman" w:hAnsi="Times New Roman"/>
          <w:sz w:val="18"/>
          <w:szCs w:val="18"/>
          <w:color w:val="auto"/>
        </w:rPr>
        <w:t>[Insert Name of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-7620</wp:posOffset>
            </wp:positionV>
            <wp:extent cx="8001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13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0019"/>
          </w:cols>
          <w:pgMar w:left="440" w:top="270" w:right="1440"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SUPPLEMENTAL INDENTURE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TO BE DELIVERED BY SUBSEQUENT GUARANTORS</w:t>
      </w:r>
    </w:p>
    <w:p>
      <w:pPr>
        <w:spacing w:after="0" w:line="225" w:lineRule="exact"/>
        <w:rPr>
          <w:sz w:val="20"/>
          <w:szCs w:val="20"/>
          <w:color w:val="auto"/>
        </w:rPr>
      </w:pPr>
    </w:p>
    <w:p>
      <w:pPr>
        <w:ind w:right="660" w:firstLine="991"/>
        <w:spacing w:after="0" w:line="266" w:lineRule="auto"/>
        <w:rPr>
          <w:sz w:val="20"/>
          <w:szCs w:val="20"/>
          <w:color w:val="auto"/>
        </w:rPr>
      </w:pPr>
      <w:r>
        <w:rPr>
          <w:rFonts w:ascii="Times New Roman" w:cs="Times New Roman" w:eastAsia="Times New Roman" w:hAnsi="Times New Roman"/>
          <w:sz w:val="18"/>
          <w:szCs w:val="18"/>
          <w:color w:val="auto"/>
        </w:rPr>
        <w:t>SUPPLEMENTAL INDENTURE (this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dated as of         , among         (the “</w:t>
      </w:r>
      <w:r>
        <w:rPr>
          <w:rFonts w:ascii="Times New Roman" w:cs="Times New Roman" w:eastAsia="Times New Roman" w:hAnsi="Times New Roman"/>
          <w:sz w:val="18"/>
          <w:szCs w:val="18"/>
          <w:u w:val="single" w:color="auto"/>
          <w:color w:val="auto"/>
        </w:rPr>
        <w:t>Guaranteeing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a subsidiary of WESCO Distribution, Inc. (or its permitted successor), a Delaware corporation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and U.S. Bank Trust Company, National Association, as trustee under the Indenture referred to below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4263390</wp:posOffset>
            </wp:positionH>
            <wp:positionV relativeFrom="paragraph">
              <wp:posOffset>-313055</wp:posOffset>
            </wp:positionV>
            <wp:extent cx="4572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57200" cy="8890"/>
                    </a:xfrm>
                    <a:prstGeom prst="rect">
                      <a:avLst/>
                    </a:prstGeom>
                    <a:noFill/>
                  </pic:spPr>
                </pic:pic>
              </a:graphicData>
            </a:graphic>
          </wp:anchor>
        </w:drawing>
        <w:drawing>
          <wp:anchor simplePos="0" relativeHeight="251657728" behindDoc="1" locked="0" layoutInCell="0" allowOverlap="1">
            <wp:simplePos x="0" y="0"/>
            <wp:positionH relativeFrom="column">
              <wp:posOffset>5117465</wp:posOffset>
            </wp:positionH>
            <wp:positionV relativeFrom="paragraph">
              <wp:posOffset>-313055</wp:posOffset>
            </wp:positionV>
            <wp:extent cx="4572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p>
    <w:p>
      <w:pPr>
        <w:spacing w:after="0" w:line="225"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WHEREAS, the Issuer has heretofore executed and delivered to the Trustee an indenture, dated as of March 7, 2024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providing for the issuance of the Issuer’s 6.375% Senior Notes due 2029 (the “</w:t>
      </w:r>
      <w:r>
        <w:rPr>
          <w:rFonts w:ascii="Times New Roman" w:cs="Times New Roman" w:eastAsia="Times New Roman" w:hAnsi="Times New Roman"/>
          <w:sz w:val="18"/>
          <w:szCs w:val="18"/>
          <w:u w:val="single" w:color="auto"/>
          <w:color w:val="auto"/>
        </w:rPr>
        <w:t>5-Year Notes</w:t>
      </w:r>
      <w:r>
        <w:rPr>
          <w:rFonts w:ascii="Times New Roman" w:cs="Times New Roman" w:eastAsia="Times New Roman" w:hAnsi="Times New Roman"/>
          <w:sz w:val="18"/>
          <w:szCs w:val="18"/>
          <w:color w:val="auto"/>
        </w:rPr>
        <w:t>”) and 6.625% Senior Notes due 2032 (the “</w:t>
      </w:r>
      <w:r>
        <w:rPr>
          <w:rFonts w:ascii="Times New Roman" w:cs="Times New Roman" w:eastAsia="Times New Roman" w:hAnsi="Times New Roman"/>
          <w:sz w:val="18"/>
          <w:szCs w:val="18"/>
          <w:u w:val="single" w:color="auto"/>
          <w:color w:val="auto"/>
        </w:rPr>
        <w:t>8-Year Notes</w:t>
      </w:r>
      <w:r>
        <w:rPr>
          <w:rFonts w:ascii="Times New Roman" w:cs="Times New Roman" w:eastAsia="Times New Roman" w:hAnsi="Times New Roman"/>
          <w:sz w:val="18"/>
          <w:szCs w:val="18"/>
          <w:color w:val="auto"/>
        </w:rPr>
        <w:t>” and, together with the 5-Year Notes,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the Guaranteeing Subsidiary shall execute and deliver to the Trustee a supplemental indenture pursuant to which the Guaranteeing Subsidiary shall unconditionally guarantee all of the Issuer’s Obligations under the Notes and the Indenture on the terms and conditions set forth herein (the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WHEREAS, pursuant to Section 8.01 of the Indenture, the Trustee is authorized to execute and deliver this Supplemental Indenture.</w:t>
      </w:r>
    </w:p>
    <w:p>
      <w:pPr>
        <w:spacing w:after="0" w:line="225"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68" w:lineRule="exact"/>
        <w:rPr>
          <w:sz w:val="20"/>
          <w:szCs w:val="20"/>
          <w:color w:val="auto"/>
        </w:rPr>
      </w:pPr>
    </w:p>
    <w:p>
      <w:pPr>
        <w:ind w:left="1160" w:hanging="173"/>
        <w:spacing w:after="0"/>
        <w:tabs>
          <w:tab w:leader="none" w:pos="11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Capitalized terms used herein without definition shall have the meanings assigned to them in the Indenture.</w:t>
      </w:r>
    </w:p>
    <w:p>
      <w:pPr>
        <w:spacing w:after="0" w:line="225" w:lineRule="exact"/>
        <w:rPr>
          <w:rFonts w:ascii="Times New Roman" w:cs="Times New Roman" w:eastAsia="Times New Roman" w:hAnsi="Times New Roman"/>
          <w:sz w:val="18"/>
          <w:szCs w:val="18"/>
          <w:color w:val="auto"/>
        </w:rPr>
      </w:pPr>
    </w:p>
    <w:p>
      <w:pPr>
        <w:ind w:right="20" w:firstLine="987"/>
        <w:spacing w:after="0" w:line="282" w:lineRule="auto"/>
        <w:tabs>
          <w:tab w:leader="none" w:pos="1171"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TO GUARANTEE. The Guaranteeing Subsidiary hereby agrees to provide an unconditional Guarantee on the terms and subject to the conditions set forth in the Guarantee and in the Indenture including but not limited to Article 10 thereof.</w:t>
      </w:r>
    </w:p>
    <w:p>
      <w:pPr>
        <w:spacing w:after="0" w:line="162" w:lineRule="exact"/>
        <w:rPr>
          <w:sz w:val="20"/>
          <w:szCs w:val="20"/>
          <w:color w:val="auto"/>
        </w:rPr>
      </w:pPr>
    </w:p>
    <w:p>
      <w:pPr>
        <w:ind w:right="140" w:firstLine="987"/>
        <w:spacing w:after="0" w:line="261" w:lineRule="auto"/>
        <w:tabs>
          <w:tab w:leader="none" w:pos="1171"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RECOURSE AGAINST OTHERS. No director, officer, employee, incorporator member of the Board of Directors or holder of Capital Stock of the Issuer or of any Guarantor, as such, shall have any liability for any obligations of the Issuer or the Guarantors under the Notes, this Supplemental Indenture or the Guarantees or for any claim based on, in respect of, or by reason of, such obligations or their creation. Each Holder of Notes by accepting a Note waives and releases all such liability.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G-1</w:t>
      </w:r>
    </w:p>
    <w:p>
      <w:pPr>
        <w:sectPr>
          <w:pgSz w:w="11900" w:h="16838" w:orient="portrait"/>
          <w:cols w:equalWidth="0" w:num="1">
            <w:col w:w="11020"/>
          </w:cols>
          <w:pgMar w:left="440" w:top="270" w:right="439" w:bottom="1440" w:gutter="0" w:footer="0" w:header="0"/>
        </w:sectPr>
      </w:pPr>
    </w:p>
    <w:bookmarkStart w:id="139" w:name="page140"/>
    <w:bookmarkEnd w:id="139"/>
    <w:p>
      <w:pPr>
        <w:ind w:right="120" w:firstLine="987"/>
        <w:spacing w:after="0" w:line="266" w:lineRule="auto"/>
        <w:tabs>
          <w:tab w:leader="none" w:pos="1171"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SUPPLEMENTAL INDENTURE SHALL BE GOVERNED BY AND CONSTRUED IN ACCORDANCE WITH THE LAWS OF THE STATE OF NEW YORK, BUT WITHOUT GIVING EFFECT TO APPLICABLE PRINCIPLES OF CONFLICTS OF LAW TO THE EXTENT THAT THE APPLICATION OF THE LAW OF ANOTHER JURISDICTION WOULD BE REQUIRED THEREBY.</w:t>
      </w:r>
    </w:p>
    <w:p>
      <w:pPr>
        <w:spacing w:after="0" w:line="175" w:lineRule="exact"/>
        <w:rPr>
          <w:rFonts w:ascii="Times New Roman" w:cs="Times New Roman" w:eastAsia="Times New Roman" w:hAnsi="Times New Roman"/>
          <w:sz w:val="18"/>
          <w:szCs w:val="18"/>
          <w:color w:val="auto"/>
        </w:rPr>
      </w:pPr>
    </w:p>
    <w:p>
      <w:pPr>
        <w:ind w:right="100" w:firstLine="987"/>
        <w:spacing w:after="0" w:line="282" w:lineRule="auto"/>
        <w:tabs>
          <w:tab w:leader="none" w:pos="1171"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The parties may sign any number of copies of this Supplemental Indenture. Each signed copy shall be an original, but all of them together represent the same agreement.</w:t>
      </w:r>
    </w:p>
    <w:p>
      <w:pPr>
        <w:spacing w:after="0" w:line="161"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HEADINGS. The Section headings herein are for convenience only and shall not affect the construction hereof.</w:t>
      </w:r>
    </w:p>
    <w:p>
      <w:pPr>
        <w:spacing w:after="0" w:line="225" w:lineRule="exact"/>
        <w:rPr>
          <w:rFonts w:ascii="Times New Roman" w:cs="Times New Roman" w:eastAsia="Times New Roman" w:hAnsi="Times New Roman"/>
          <w:sz w:val="18"/>
          <w:szCs w:val="18"/>
          <w:color w:val="auto"/>
        </w:rPr>
      </w:pPr>
    </w:p>
    <w:p>
      <w:pPr>
        <w:ind w:firstLine="987"/>
        <w:spacing w:after="0" w:line="266" w:lineRule="auto"/>
        <w:tabs>
          <w:tab w:leader="none" w:pos="1171"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Issuer.</w:t>
      </w:r>
    </w:p>
    <w:p>
      <w:pPr>
        <w:spacing w:after="0" w:line="176"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Supplemental Indenture to be duly executed and attested, all as of the date first above written.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[GUARANTEEING SUBSIDIARY]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WESCO DISTRIBUTION,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G-2</w:t>
      </w:r>
    </w:p>
    <w:p>
      <w:pPr>
        <w:sectPr>
          <w:pgSz w:w="11900" w:h="16838" w:orient="portrait"/>
          <w:cols w:equalWidth="0" w:num="1">
            <w:col w:w="10940"/>
          </w:cols>
          <w:pgMar w:left="440" w:top="270" w:right="519" w:bottom="1440" w:gutter="0" w:footer="0" w:header="0"/>
        </w:sectPr>
      </w:pPr>
    </w:p>
    <w:bookmarkStart w:id="140" w:name="page141"/>
    <w:bookmarkEnd w:id="140"/>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BANK TRUST COMPANY, NATIONAL</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ASSOCIATION,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Trustee</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G-3</w:t>
      </w:r>
    </w:p>
    <w:p>
      <w:pPr>
        <w:sectPr>
          <w:pgSz w:w="11900" w:h="16838" w:orient="portrait"/>
          <w:cols w:equalWidth="0" w:num="1">
            <w:col w:w="9019"/>
          </w:cols>
          <w:pgMar w:left="1440" w:top="270" w:right="1440"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EIGHTH AMENDMENT TO FIFTH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RECEIVABLES PURCHASE AGREEMENT</w:t>
      </w:r>
    </w:p>
    <w:p>
      <w:pPr>
        <w:spacing w:after="0" w:line="207"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THIS EIGHTH AMENDMENT TO FIFTH AMENDED AND RESTATED RECEIVABLES PURCHASE AGREEMENT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March 8, 2024, is entered into among WESCO RECEIVABLES CORP. (the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WESCO DISTRIBUTION, INC. (“</w:t>
      </w:r>
      <w:r>
        <w:rPr>
          <w:rFonts w:ascii="Times New Roman" w:cs="Times New Roman" w:eastAsia="Times New Roman" w:hAnsi="Times New Roman"/>
          <w:sz w:val="18"/>
          <w:szCs w:val="18"/>
          <w:u w:val="single" w:color="auto"/>
          <w:color w:val="auto"/>
        </w:rPr>
        <w:t>WESCO</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Servicer</w:t>
      </w:r>
      <w:r>
        <w:rPr>
          <w:rFonts w:ascii="Times New Roman" w:cs="Times New Roman" w:eastAsia="Times New Roman" w:hAnsi="Times New Roman"/>
          <w:sz w:val="18"/>
          <w:szCs w:val="18"/>
          <w:color w:val="auto"/>
        </w:rPr>
        <w:t>”), the Purchasers party hereto (each,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the Purchaser Agents party hereto (each, a “</w:t>
      </w:r>
      <w:r>
        <w:rPr>
          <w:rFonts w:ascii="Times New Roman" w:cs="Times New Roman" w:eastAsia="Times New Roman" w:hAnsi="Times New Roman"/>
          <w:sz w:val="18"/>
          <w:szCs w:val="18"/>
          <w:u w:val="single" w:color="auto"/>
          <w:color w:val="auto"/>
        </w:rPr>
        <w:t>Purchaser Agent</w:t>
      </w:r>
      <w:r>
        <w:rPr>
          <w:rFonts w:ascii="Times New Roman" w:cs="Times New Roman" w:eastAsia="Times New Roman" w:hAnsi="Times New Roman"/>
          <w:sz w:val="18"/>
          <w:szCs w:val="18"/>
          <w:color w:val="auto"/>
        </w:rPr>
        <w:t>”), and PNC BANK, NATIONAL ASSOCIATION, as Administrator (the “</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firstLine="436"/>
        <w:spacing w:after="0" w:line="312" w:lineRule="auto"/>
        <w:tabs>
          <w:tab w:leader="none" w:pos="62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Seller, the Servicer, each Purchaser, each Purchaser Agent and the Administrator are parties to the Fifth Amended and Restated Receivables Purchase Agreement, dated as of June 22, 2020 (as amended, restated, supplemented or otherwise modified through the date hereof, the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w:t>
      </w:r>
    </w:p>
    <w:p>
      <w:pPr>
        <w:spacing w:after="0" w:line="31" w:lineRule="exact"/>
        <w:rPr>
          <w:rFonts w:ascii="Times New Roman" w:cs="Times New Roman" w:eastAsia="Times New Roman" w:hAnsi="Times New Roman"/>
          <w:sz w:val="17"/>
          <w:szCs w:val="17"/>
          <w:color w:val="auto"/>
        </w:rPr>
      </w:pPr>
    </w:p>
    <w:p>
      <w:pPr>
        <w:ind w:right="360" w:firstLine="436"/>
        <w:spacing w:after="0" w:line="282" w:lineRule="auto"/>
        <w:tabs>
          <w:tab w:leader="none" w:pos="6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herewith, the Seller, the Servicer and the Originators are entering into that certain Third Amendment to the Purchase and Sale Agreement (the “</w:t>
      </w:r>
      <w:r>
        <w:rPr>
          <w:rFonts w:ascii="Times New Roman" w:cs="Times New Roman" w:eastAsia="Times New Roman" w:hAnsi="Times New Roman"/>
          <w:sz w:val="18"/>
          <w:szCs w:val="18"/>
          <w:u w:val="single" w:color="auto"/>
          <w:color w:val="auto"/>
        </w:rPr>
        <w:t>PSA Amendment</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right="600" w:firstLine="436"/>
        <w:spacing w:after="0" w:line="282" w:lineRule="auto"/>
        <w:tabs>
          <w:tab w:leader="none" w:pos="6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herewith, the Seller, the Servicer, and the Administrator are entering into that certain Fourteenth Amendment to Lock-Box Schedule Letter Agreement (the “</w:t>
      </w:r>
      <w:r>
        <w:rPr>
          <w:rFonts w:ascii="Times New Roman" w:cs="Times New Roman" w:eastAsia="Times New Roman" w:hAnsi="Times New Roman"/>
          <w:sz w:val="18"/>
          <w:szCs w:val="18"/>
          <w:u w:val="single" w:color="auto"/>
          <w:color w:val="auto"/>
        </w:rPr>
        <w:t>Lock-Box Schedule Letter Amendment</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desire to amend the Agreement as hereinafter set forth.</w:t>
      </w:r>
    </w:p>
    <w:p>
      <w:pPr>
        <w:spacing w:after="0" w:line="221"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NOW THEREFORE</w:t>
      </w:r>
      <w:r>
        <w:rPr>
          <w:rFonts w:ascii="Times New Roman" w:cs="Times New Roman" w:eastAsia="Times New Roman" w:hAnsi="Times New Roman"/>
          <w:sz w:val="18"/>
          <w:szCs w:val="18"/>
          <w:color w:val="auto"/>
        </w:rPr>
        <w:t>, for good and valuable consideration, the receipt and sufficiency of which are hereby acknowledged, the parties agree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follows:</w:t>
      </w:r>
    </w:p>
    <w:p>
      <w:pPr>
        <w:spacing w:after="0" w:line="49" w:lineRule="exact"/>
        <w:rPr>
          <w:sz w:val="20"/>
          <w:szCs w:val="20"/>
          <w:color w:val="auto"/>
        </w:rPr>
      </w:pPr>
    </w:p>
    <w:p>
      <w:pPr>
        <w:ind w:right="220" w:firstLine="436"/>
        <w:spacing w:after="0" w:line="284" w:lineRule="auto"/>
        <w:tabs>
          <w:tab w:leader="none" w:pos="6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Certain Defined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Capitalized terms that are used herein without definition and that are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Agreement shall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meanings herein as therein defined.</w:t>
      </w:r>
    </w:p>
    <w:p>
      <w:pPr>
        <w:spacing w:after="0" w:line="50"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Rebalancing and Certain Consents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440" w:right="120" w:firstLine="419"/>
        <w:spacing w:after="0" w:line="261" w:lineRule="auto"/>
        <w:tabs>
          <w:tab w:leader="none" w:pos="1107"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Initial Purchases; Rebalancing</w:t>
      </w:r>
      <w:r>
        <w:rPr>
          <w:rFonts w:ascii="Times New Roman" w:cs="Times New Roman" w:eastAsia="Times New Roman" w:hAnsi="Times New Roman"/>
          <w:sz w:val="18"/>
          <w:szCs w:val="18"/>
          <w:color w:val="auto"/>
        </w:rPr>
        <w:t xml:space="preserve">. On the date hereof, the Seller is requesting that certain Purchasers fund a new Purchase pursuant to a Purchase Notice delivered in accordance with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Such Purchase Notice provides that such Purchaser’s Purchaser Group will fund a non-ratable portion of the aggregate Purchase such that, after giving effect to such Purchase, each Purchaser Group’s outstanding Investment will be equal to its Ratable Share of the Aggregate Investment.</w:t>
      </w:r>
    </w:p>
    <w:p>
      <w:pPr>
        <w:spacing w:after="0" w:line="7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Consents</w:t>
      </w:r>
      <w:r>
        <w:rPr>
          <w:rFonts w:ascii="Times New Roman" w:cs="Times New Roman" w:eastAsia="Times New Roman" w:hAnsi="Times New Roman"/>
          <w:sz w:val="18"/>
          <w:szCs w:val="18"/>
          <w:color w:val="auto"/>
        </w:rPr>
        <w:t xml:space="preserve">. The parties hereto hereby consent to the non-ratable funding of the foregoing Purchase on the terms set forth in </w:t>
      </w:r>
      <w:r>
        <w:rPr>
          <w:rFonts w:ascii="Times New Roman" w:cs="Times New Roman" w:eastAsia="Times New Roman" w:hAnsi="Times New Roman"/>
          <w:sz w:val="18"/>
          <w:szCs w:val="18"/>
          <w:u w:val="single" w:color="auto"/>
          <w:color w:val="auto"/>
        </w:rPr>
        <w:t>clause</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above as set forth above on a one-time basis.</w:t>
      </w:r>
    </w:p>
    <w:p>
      <w:pPr>
        <w:sectPr>
          <w:pgSz w:w="11900" w:h="16838" w:orient="portrait"/>
          <w:cols w:equalWidth="0" w:num="1">
            <w:col w:w="11020"/>
          </w:cols>
          <w:pgMar w:left="440" w:top="117" w:right="439" w:bottom="1440" w:gutter="0" w:footer="0" w:header="0"/>
        </w:sectPr>
      </w:pPr>
    </w:p>
    <w:bookmarkStart w:id="142" w:name="page143"/>
    <w:bookmarkEnd w:id="142"/>
    <w:p>
      <w:pPr>
        <w:ind w:left="600" w:hanging="184"/>
        <w:spacing w:after="0"/>
        <w:tabs>
          <w:tab w:leader="none" w:pos="6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Amendments to the Agreement</w:t>
      </w:r>
      <w:r>
        <w:rPr>
          <w:rFonts w:ascii="Times New Roman" w:cs="Times New Roman" w:eastAsia="Times New Roman" w:hAnsi="Times New Roman"/>
          <w:sz w:val="18"/>
          <w:szCs w:val="18"/>
          <w:color w:val="auto"/>
        </w:rPr>
        <w:t>. The Agreement is hereby amended to reflect the marked changes shown on Exhibit A to this Amendment.</w:t>
      </w:r>
    </w:p>
    <w:p>
      <w:pPr>
        <w:spacing w:after="0" w:line="117" w:lineRule="exact"/>
        <w:rPr>
          <w:rFonts w:ascii="Times New Roman" w:cs="Times New Roman" w:eastAsia="Times New Roman" w:hAnsi="Times New Roman"/>
          <w:sz w:val="18"/>
          <w:szCs w:val="18"/>
          <w:color w:val="auto"/>
        </w:rPr>
      </w:pPr>
    </w:p>
    <w:p>
      <w:pPr>
        <w:ind w:left="600" w:hanging="184"/>
        <w:spacing w:after="0"/>
        <w:tabs>
          <w:tab w:leader="none" w:pos="600" w:val="left"/>
        </w:tabs>
        <w:numPr>
          <w:ilvl w:val="0"/>
          <w:numId w:val="1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Representations and Warranties</w:t>
      </w:r>
      <w:r>
        <w:rPr>
          <w:rFonts w:ascii="Times New Roman" w:cs="Times New Roman" w:eastAsia="Times New Roman" w:hAnsi="Times New Roman"/>
          <w:sz w:val="18"/>
          <w:szCs w:val="18"/>
          <w:color w:val="auto"/>
        </w:rPr>
        <w:t>. The Seller and the Servicer hereby represent and warrant to each of the parties hereto as follows:</w:t>
      </w:r>
    </w:p>
    <w:p>
      <w:pPr>
        <w:spacing w:after="0" w:line="119" w:lineRule="exact"/>
        <w:rPr>
          <w:sz w:val="20"/>
          <w:szCs w:val="20"/>
          <w:color w:val="auto"/>
        </w:rPr>
      </w:pPr>
    </w:p>
    <w:p>
      <w:pPr>
        <w:ind w:left="420" w:right="200" w:firstLine="423"/>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The representations and warranties contained in </w:t>
      </w:r>
      <w:r>
        <w:rPr>
          <w:rFonts w:ascii="Times New Roman" w:cs="Times New Roman" w:eastAsia="Times New Roman" w:hAnsi="Times New Roman"/>
          <w:sz w:val="18"/>
          <w:szCs w:val="18"/>
          <w:u w:val="single" w:color="auto"/>
          <w:color w:val="auto"/>
        </w:rPr>
        <w:t>Exhibit III</w:t>
      </w:r>
      <w:r>
        <w:rPr>
          <w:rFonts w:ascii="Times New Roman" w:cs="Times New Roman" w:eastAsia="Times New Roman" w:hAnsi="Times New Roman"/>
          <w:sz w:val="18"/>
          <w:szCs w:val="18"/>
          <w:color w:val="auto"/>
        </w:rPr>
        <w:t xml:space="preserve"> of the Agreement, as amended hereby, are true and correct in all material respects as of the date hereof; provided, that any representation and warranty that is qualified as to “materiality”, “Material Adverse Effect” or similar language shall be true and correct (after giving effect to any qualification therein) in all respects on such respective dates).</w:t>
      </w:r>
    </w:p>
    <w:p>
      <w:pPr>
        <w:spacing w:after="0" w:line="72" w:lineRule="exact"/>
        <w:rPr>
          <w:sz w:val="20"/>
          <w:szCs w:val="20"/>
          <w:color w:val="auto"/>
        </w:rPr>
      </w:pPr>
    </w:p>
    <w:p>
      <w:pPr>
        <w:ind w:left="420" w:right="840" w:firstLine="423"/>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Both before and immediately after giving effect to this Amendment and the transactions contemplated hereby, no Termination Event or Unmatured Termination Event exists or shall exist.</w:t>
      </w:r>
    </w:p>
    <w:p>
      <w:pPr>
        <w:spacing w:after="0" w:line="52" w:lineRule="exact"/>
        <w:rPr>
          <w:sz w:val="20"/>
          <w:szCs w:val="20"/>
          <w:color w:val="auto"/>
        </w:rPr>
      </w:pPr>
    </w:p>
    <w:p>
      <w:pPr>
        <w:ind w:left="-20" w:right="160" w:firstLine="436"/>
        <w:spacing w:after="0" w:line="258" w:lineRule="auto"/>
        <w:tabs>
          <w:tab w:leader="none" w:pos="6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Effect of Amendment</w:t>
      </w:r>
      <w:r>
        <w:rPr>
          <w:rFonts w:ascii="Times New Roman" w:cs="Times New Roman" w:eastAsia="Times New Roman" w:hAnsi="Times New Roman"/>
          <w:sz w:val="18"/>
          <w:szCs w:val="18"/>
          <w:color w:val="auto"/>
        </w:rPr>
        <w:t>. All provisions of the Agreement, as expressly amended and modified by this Amendment shall remain in full force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As of and after the date hereof, all references in the Agreement (or in any other Transaction Document) to “this Agreement”, “hereof”, “herein” or words of similar effect referring to the Agreement shall be deemed to be references to the Agreement as amended by this Amendment. This Amendment shall not be deemed, either expressly or impliedly, to waive, amend or supplement any provision of the Agreement other than as set forth herein.</w:t>
      </w:r>
    </w:p>
    <w:p>
      <w:pPr>
        <w:spacing w:after="0" w:line="75" w:lineRule="exact"/>
        <w:rPr>
          <w:rFonts w:ascii="Times New Roman" w:cs="Times New Roman" w:eastAsia="Times New Roman" w:hAnsi="Times New Roman"/>
          <w:sz w:val="18"/>
          <w:szCs w:val="18"/>
          <w:color w:val="auto"/>
        </w:rPr>
      </w:pPr>
    </w:p>
    <w:p>
      <w:pPr>
        <w:ind w:left="-20" w:right="500" w:firstLine="436"/>
        <w:spacing w:after="0" w:line="315" w:lineRule="auto"/>
        <w:tabs>
          <w:tab w:leader="none" w:pos="600"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Effectiveness</w:t>
      </w:r>
      <w:r>
        <w:rPr>
          <w:rFonts w:ascii="Times New Roman" w:cs="Times New Roman" w:eastAsia="Times New Roman" w:hAnsi="Times New Roman"/>
          <w:sz w:val="17"/>
          <w:szCs w:val="17"/>
          <w:color w:val="auto"/>
        </w:rPr>
        <w:t>. This Amendment shall become effective as of the date hereof, upon receipt by the Administrator of each of the documents,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opinions, certificates and searches listed on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hereto, in each case in form and substance reasonably satisfactory to the Administrator.</w:t>
      </w:r>
    </w:p>
    <w:p>
      <w:pPr>
        <w:spacing w:after="0" w:line="26" w:lineRule="exact"/>
        <w:rPr>
          <w:rFonts w:ascii="Times New Roman" w:cs="Times New Roman" w:eastAsia="Times New Roman" w:hAnsi="Times New Roman"/>
          <w:sz w:val="17"/>
          <w:szCs w:val="17"/>
          <w:color w:val="auto"/>
        </w:rPr>
      </w:pPr>
    </w:p>
    <w:p>
      <w:pPr>
        <w:ind w:left="-20" w:firstLine="436"/>
        <w:spacing w:after="0" w:line="284" w:lineRule="auto"/>
        <w:tabs>
          <w:tab w:leader="none" w:pos="6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Counterparts</w:t>
      </w:r>
      <w:r>
        <w:rPr>
          <w:rFonts w:ascii="Times New Roman" w:cs="Times New Roman" w:eastAsia="Times New Roman" w:hAnsi="Times New Roman"/>
          <w:sz w:val="18"/>
          <w:szCs w:val="18"/>
          <w:color w:val="auto"/>
        </w:rPr>
        <w:t>. This Amendment may be executed in any number of counterparts and by different parties on separate counterparts, each of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so executed shall be deemed to be an original and all of which when taken together shall constitute but one and the same instrument.</w:t>
      </w:r>
    </w:p>
    <w:p>
      <w:pPr>
        <w:spacing w:after="0" w:line="50" w:lineRule="exact"/>
        <w:rPr>
          <w:rFonts w:ascii="Times New Roman" w:cs="Times New Roman" w:eastAsia="Times New Roman" w:hAnsi="Times New Roman"/>
          <w:sz w:val="18"/>
          <w:szCs w:val="18"/>
          <w:color w:val="auto"/>
        </w:rPr>
      </w:pPr>
    </w:p>
    <w:p>
      <w:pPr>
        <w:ind w:left="600" w:hanging="184"/>
        <w:spacing w:after="0"/>
        <w:tabs>
          <w:tab w:leader="none" w:pos="6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Governing Law; Jurisdiction</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left="420" w:right="40" w:firstLine="423"/>
        <w:spacing w:after="0" w:line="266" w:lineRule="auto"/>
        <w:rPr>
          <w:sz w:val="20"/>
          <w:szCs w:val="20"/>
          <w:color w:val="auto"/>
        </w:rPr>
      </w:pPr>
      <w:r>
        <w:rPr>
          <w:rFonts w:ascii="Times New Roman" w:cs="Times New Roman" w:eastAsia="Times New Roman" w:hAnsi="Times New Roman"/>
          <w:sz w:val="18"/>
          <w:szCs w:val="18"/>
          <w:color w:val="auto"/>
        </w:rPr>
        <w:t>8.1 THIS AMENDMENT SHALL BE A CONTRACT MADE UNDER AND GOVERNED BY THE INTERNAL LAWS OF THE STATE OF NEW YORK (INCLUDING FOR SUCH PURPOSE SECTIONS 5-1401 AND 5-1402 OF THE GENERAL OBLIGATIONS LAW OF THE STATE OF NEW YORK).</w:t>
      </w:r>
    </w:p>
    <w:p>
      <w:pPr>
        <w:spacing w:after="0" w:line="68" w:lineRule="exact"/>
        <w:rPr>
          <w:sz w:val="20"/>
          <w:szCs w:val="20"/>
          <w:color w:val="auto"/>
        </w:rPr>
      </w:pPr>
    </w:p>
    <w:p>
      <w:pPr>
        <w:ind w:left="420" w:right="100" w:firstLine="423"/>
        <w:spacing w:after="0" w:line="258" w:lineRule="auto"/>
        <w:rPr>
          <w:sz w:val="20"/>
          <w:szCs w:val="20"/>
          <w:color w:val="auto"/>
        </w:rPr>
      </w:pPr>
      <w:r>
        <w:rPr>
          <w:rFonts w:ascii="Times New Roman" w:cs="Times New Roman" w:eastAsia="Times New Roman" w:hAnsi="Times New Roman"/>
          <w:sz w:val="18"/>
          <w:szCs w:val="18"/>
          <w:color w:val="auto"/>
        </w:rPr>
        <w:t>8.2 ANY LEGAL ACTION OR PROCEEDING WITH RESPECT TO THIS AMENDMENT MAY BE BROUGHT IN THE COURTS OF THE STATE OF NEW YORK OR OF THE UNITED STATES FOR THE SOUTHERN DISTRICT OF NEW YORK; AND, BY EXECUTION AND DELIVERY OF THIS AMENDMENT, EACH OF THE PARTIES HERETO CONSENTS, FOR ITSELF AND IN RESPECT OF ITS PROPERTY, TO THE NON-EXCLUSIVE JURISDICTION OF THOSE COURTS. EACH OF THE PARTIES HERETO IRREVOCABLY WAIVES, TO THE MAXIMUM</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60" w:top="268" w:right="459" w:bottom="1440" w:gutter="0" w:footer="0" w:header="0"/>
        </w:sectPr>
      </w:pPr>
    </w:p>
    <w:bookmarkStart w:id="143" w:name="page144"/>
    <w:bookmarkEnd w:id="143"/>
    <w:p>
      <w:pPr>
        <w:ind w:left="420"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EXTENT PERMITTED BY LAW, ANY OBJECTION, INCLUDING ANY OBJECTION TO THE LAYING OF VENUE OR BASED ON THE GROUNDS OF FORUM NON CONVENIENS, THAT IT MAY NOW OR HEREAFTER HAVE TO THE BRINGING OF ANY ACTION OR PROCEEDING IN SUCH JURISDICTION IN RESPECT OF THIS AMENDMENT OR ANY DOCUMENT RELATED HERETO. EACH OF THE PARTIES HERETO WAIVES PERSONAL SERVICE OF ANY SUMMONS, COMPLAINT OR OTHER PROCESS, WHICH SERVICE MAY BE MADE BY ANY OTHER MEANS PERMITTED BY NEW YORK LAW.</w:t>
      </w:r>
    </w:p>
    <w:p>
      <w:pPr>
        <w:spacing w:after="0" w:line="73" w:lineRule="exact"/>
        <w:rPr>
          <w:sz w:val="20"/>
          <w:szCs w:val="20"/>
          <w:color w:val="auto"/>
        </w:rPr>
      </w:pPr>
    </w:p>
    <w:p>
      <w:pPr>
        <w:ind w:left="-20" w:firstLine="436"/>
        <w:spacing w:after="0" w:line="284" w:lineRule="auto"/>
        <w:tabs>
          <w:tab w:leader="none" w:pos="6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Section Headings</w:t>
      </w:r>
      <w:r>
        <w:rPr>
          <w:rFonts w:ascii="Times New Roman" w:cs="Times New Roman" w:eastAsia="Times New Roman" w:hAnsi="Times New Roman"/>
          <w:sz w:val="18"/>
          <w:szCs w:val="18"/>
          <w:color w:val="auto"/>
        </w:rPr>
        <w:t>. The various headings of this Amendment are included for convenience only and shall not affect the meaning or interpretation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Amendment, the Agreement or any provision hereof or thereof.</w:t>
      </w:r>
    </w:p>
    <w:p>
      <w:pPr>
        <w:spacing w:after="0" w:line="50" w:lineRule="exact"/>
        <w:rPr>
          <w:rFonts w:ascii="Times New Roman" w:cs="Times New Roman" w:eastAsia="Times New Roman" w:hAnsi="Times New Roman"/>
          <w:sz w:val="18"/>
          <w:szCs w:val="18"/>
          <w:color w:val="auto"/>
        </w:rPr>
      </w:pPr>
    </w:p>
    <w:p>
      <w:pPr>
        <w:ind w:left="-20" w:right="100" w:firstLine="436"/>
        <w:spacing w:after="0" w:line="261" w:lineRule="auto"/>
        <w:tabs>
          <w:tab w:leader="none" w:pos="69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Consents</w:t>
      </w:r>
      <w:r>
        <w:rPr>
          <w:rFonts w:ascii="Times New Roman" w:cs="Times New Roman" w:eastAsia="Times New Roman" w:hAnsi="Times New Roman"/>
          <w:sz w:val="18"/>
          <w:szCs w:val="18"/>
          <w:color w:val="auto"/>
        </w:rPr>
        <w:t>. The parties hereto hereby consent to (i) the entry into the PSA Amendment by the Seller, the Servicer, the Originators and the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Originator (as defined in the PSA Amendment), (ii) the Administrator and each Originator’s entry into the Assignment and Release Agreement described in the PSA Amendment and related documentation relating to divestiture of WESCO Integrated Supply, Inc. and (iii) the entry into the Lock-Box Schedule Letter Amendment by the Seller, the Servicer and the Administrator.</w:t>
      </w:r>
    </w:p>
    <w:p>
      <w:pPr>
        <w:spacing w:after="0" w:line="71"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Certain Joinders and Assignments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11.1 Effective as of the date hereof:</w:t>
      </w:r>
    </w:p>
    <w:p>
      <w:pPr>
        <w:spacing w:after="0" w:line="117" w:lineRule="exact"/>
        <w:rPr>
          <w:sz w:val="20"/>
          <w:szCs w:val="20"/>
          <w:color w:val="auto"/>
        </w:rPr>
      </w:pPr>
    </w:p>
    <w:p>
      <w:pPr>
        <w:jc w:val="both"/>
        <w:ind w:left="420" w:right="120" w:firstLine="419"/>
        <w:spacing w:after="0" w:line="266" w:lineRule="auto"/>
        <w:tabs>
          <w:tab w:leader="none" w:pos="108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GTA Funding LLC hereby becomes a party to this Agreement as a Conduit Purchaser hereunder with all the rights, interests, duties and obligations of a Conduit Purchaser hereunder and shall appoint The Toronto-Dominion Bank to act as its Purchaser Agent and shall be a member of its Purchaser Group;</w:t>
      </w:r>
    </w:p>
    <w:p>
      <w:pPr>
        <w:spacing w:after="0" w:line="67" w:lineRule="exact"/>
        <w:rPr>
          <w:rFonts w:ascii="Times New Roman" w:cs="Times New Roman" w:eastAsia="Times New Roman" w:hAnsi="Times New Roman"/>
          <w:sz w:val="18"/>
          <w:szCs w:val="18"/>
          <w:color w:val="auto"/>
        </w:rPr>
      </w:pPr>
    </w:p>
    <w:p>
      <w:pPr>
        <w:ind w:left="420" w:right="20" w:firstLine="419"/>
        <w:spacing w:after="0" w:line="266" w:lineRule="auto"/>
        <w:tabs>
          <w:tab w:leader="none" w:pos="109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Bay Square Funding LLC hereby becomes a party to this Agreement as a Conduit Purchaser hereunder with all the rights, interests, duties and obligations of a Conduit Purchaser hereunder and shall appoint Canadian Imperial Bank of Commerce to act as its Purchaser Agent and shall be a member of its Purchaser Group;</w:t>
      </w:r>
    </w:p>
    <w:p>
      <w:pPr>
        <w:spacing w:after="0" w:line="68" w:lineRule="exact"/>
        <w:rPr>
          <w:sz w:val="20"/>
          <w:szCs w:val="20"/>
          <w:color w:val="auto"/>
        </w:rPr>
      </w:pPr>
    </w:p>
    <w:p>
      <w:pPr>
        <w:ind w:left="420" w:right="40" w:firstLine="423"/>
        <w:spacing w:after="0" w:line="261" w:lineRule="auto"/>
        <w:rPr>
          <w:sz w:val="20"/>
          <w:szCs w:val="20"/>
          <w:color w:val="auto"/>
        </w:rPr>
      </w:pPr>
      <w:r>
        <w:rPr>
          <w:rFonts w:ascii="Times New Roman" w:cs="Times New Roman" w:eastAsia="Times New Roman" w:hAnsi="Times New Roman"/>
          <w:sz w:val="18"/>
          <w:szCs w:val="18"/>
          <w:color w:val="auto"/>
        </w:rPr>
        <w:t xml:space="preserve">11.2 Effective as of the date hereof, Macro Trust hereby assigns all of its Commitment under the Agreement to Canadian Imperial Bank of Commerce and, thereafter, Macro Trust shall cease to be a Committed Purchaser and Canadian Imperial Bank of Commerce shall be the sole Committed Purchaser in the Purchaser Group for which Canadian Imperial Bank of Commerce is the Purchaser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Macro Trust shall remain a Conduit Purchaser in such Purchaser Group.</w:t>
      </w:r>
    </w:p>
    <w:p>
      <w:pPr>
        <w:spacing w:after="0" w:line="72" w:lineRule="exact"/>
        <w:rPr>
          <w:sz w:val="20"/>
          <w:szCs w:val="20"/>
          <w:color w:val="auto"/>
        </w:rPr>
      </w:pPr>
    </w:p>
    <w:p>
      <w:pPr>
        <w:ind w:left="420" w:right="20" w:firstLine="423"/>
        <w:spacing w:after="0" w:line="282" w:lineRule="auto"/>
        <w:rPr>
          <w:sz w:val="20"/>
          <w:szCs w:val="20"/>
          <w:color w:val="auto"/>
        </w:rPr>
      </w:pPr>
      <w:r>
        <w:rPr>
          <w:rFonts w:ascii="Times New Roman" w:cs="Times New Roman" w:eastAsia="Times New Roman" w:hAnsi="Times New Roman"/>
          <w:sz w:val="18"/>
          <w:szCs w:val="18"/>
          <w:color w:val="auto"/>
        </w:rPr>
        <w:t>11.3 To the extent that its consent is required therefor, each of the parties hereto hereby consent to the proposed assignments and joinders set forth in this Section and agrees that this Section shall constitute a Transfer Supplement for purposes of the Agreement.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60" w:top="270" w:right="4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executed this Amendment as of the date first written above.</w:t>
      </w:r>
    </w:p>
    <w:p>
      <w:pPr>
        <w:spacing w:after="0" w:line="252" w:lineRule="exact"/>
        <w:rPr>
          <w:sz w:val="20"/>
          <w:szCs w:val="20"/>
          <w:color w:val="auto"/>
        </w:rPr>
      </w:pPr>
    </w:p>
    <w:tbl>
      <w:tblPr>
        <w:tblLayout w:type="fixed"/>
        <w:tblInd w:w="490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WESCO RECEIVABLES CORP.</w:t>
            </w:r>
          </w:p>
        </w:tc>
        <w:tc>
          <w:tcPr>
            <w:tcW w:w="0" w:type="dxa"/>
            <w:vAlign w:val="bottom"/>
          </w:tcPr>
          <w:p>
            <w:pPr>
              <w:spacing w:after="0"/>
              <w:rPr>
                <w:sz w:val="1"/>
                <w:szCs w:val="1"/>
                <w:color w:val="auto"/>
              </w:rPr>
            </w:pPr>
          </w:p>
        </w:tc>
      </w:tr>
      <w:tr>
        <w:trPr>
          <w:trHeight w:val="432"/>
        </w:trPr>
        <w:tc>
          <w:tcPr>
            <w:tcW w:w="760" w:type="dxa"/>
            <w:vAlign w:val="bottom"/>
          </w:tcPr>
          <w:p>
            <w:pPr>
              <w:spacing w:after="0"/>
              <w:rPr>
                <w:sz w:val="24"/>
                <w:szCs w:val="24"/>
                <w:color w:val="auto"/>
              </w:rPr>
            </w:pPr>
          </w:p>
        </w:tc>
        <w:tc>
          <w:tcPr>
            <w:tcW w:w="4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By: /s/ Brian M. Begg</w:t>
            </w:r>
          </w:p>
        </w:tc>
        <w:tc>
          <w:tcPr>
            <w:tcW w:w="0" w:type="dxa"/>
            <w:vAlign w:val="bottom"/>
          </w:tcPr>
          <w:p>
            <w:pPr>
              <w:spacing w:after="0"/>
              <w:rPr>
                <w:sz w:val="1"/>
                <w:szCs w:val="1"/>
                <w:color w:val="auto"/>
              </w:rPr>
            </w:pPr>
          </w:p>
        </w:tc>
      </w:tr>
      <w:tr>
        <w:trPr>
          <w:trHeight w:val="205"/>
        </w:trPr>
        <w:tc>
          <w:tcPr>
            <w:tcW w:w="760" w:type="dxa"/>
            <w:vAlign w:val="bottom"/>
          </w:tcPr>
          <w:p>
            <w:pPr>
              <w:spacing w:after="0"/>
              <w:rPr>
                <w:sz w:val="17"/>
                <w:szCs w:val="17"/>
                <w:color w:val="auto"/>
              </w:rPr>
            </w:pPr>
          </w:p>
        </w:tc>
        <w:tc>
          <w:tcPr>
            <w:tcW w:w="880" w:type="dxa"/>
            <w:vAlign w:val="bottom"/>
          </w:tcPr>
          <w:p>
            <w:pPr>
              <w:ind w:left="520"/>
              <w:spacing w:after="0" w:line="205" w:lineRule="exact"/>
              <w:rPr>
                <w:sz w:val="20"/>
                <w:szCs w:val="20"/>
                <w:color w:val="auto"/>
              </w:rPr>
            </w:pPr>
            <w:r>
              <w:rPr>
                <w:rFonts w:ascii="Times New Roman" w:cs="Times New Roman" w:eastAsia="Times New Roman" w:hAnsi="Times New Roman"/>
                <w:sz w:val="18"/>
                <w:szCs w:val="18"/>
                <w:color w:val="auto"/>
                <w:w w:val="70"/>
              </w:rPr>
              <w:t>Name:</w:t>
            </w:r>
          </w:p>
        </w:tc>
        <w:tc>
          <w:tcPr>
            <w:tcW w:w="4040" w:type="dxa"/>
            <w:vAlign w:val="bottom"/>
            <w:tcBorders>
              <w:top w:val="single" w:sz="8" w:color="auto"/>
            </w:tcBorders>
          </w:tcPr>
          <w:p>
            <w:pPr>
              <w:jc w:val="right"/>
              <w:ind w:right="2710"/>
              <w:spacing w:after="0" w:line="205" w:lineRule="exact"/>
              <w:rPr>
                <w:sz w:val="20"/>
                <w:szCs w:val="20"/>
                <w:color w:val="auto"/>
              </w:rPr>
            </w:pPr>
            <w:r>
              <w:rPr>
                <w:rFonts w:ascii="Times New Roman" w:cs="Times New Roman" w:eastAsia="Times New Roman" w:hAnsi="Times New Roman"/>
                <w:sz w:val="18"/>
                <w:szCs w:val="18"/>
                <w:color w:val="auto"/>
              </w:rPr>
              <w:t>Brian M. Begg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4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Title: Treasurer</w:t>
            </w:r>
          </w:p>
        </w:tc>
        <w:tc>
          <w:tcPr>
            <w:tcW w:w="0" w:type="dxa"/>
            <w:vAlign w:val="bottom"/>
          </w:tcPr>
          <w:p>
            <w:pPr>
              <w:spacing w:after="0"/>
              <w:rPr>
                <w:sz w:val="1"/>
                <w:szCs w:val="1"/>
                <w:color w:val="auto"/>
              </w:rPr>
            </w:pPr>
          </w:p>
        </w:tc>
      </w:tr>
      <w:tr>
        <w:trPr>
          <w:trHeight w:val="432"/>
        </w:trPr>
        <w:tc>
          <w:tcPr>
            <w:tcW w:w="760" w:type="dxa"/>
            <w:vAlign w:val="bottom"/>
          </w:tcPr>
          <w:p>
            <w:pPr>
              <w:spacing w:after="0"/>
              <w:rPr>
                <w:sz w:val="24"/>
                <w:szCs w:val="24"/>
                <w:color w:val="auto"/>
              </w:rPr>
            </w:pPr>
          </w:p>
        </w:tc>
        <w:tc>
          <w:tcPr>
            <w:tcW w:w="4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WESCO DISTRIBUTION, INC., as Servicer</w:t>
            </w:r>
          </w:p>
        </w:tc>
        <w:tc>
          <w:tcPr>
            <w:tcW w:w="0" w:type="dxa"/>
            <w:vAlign w:val="bottom"/>
          </w:tcPr>
          <w:p>
            <w:pPr>
              <w:spacing w:after="0"/>
              <w:rPr>
                <w:sz w:val="1"/>
                <w:szCs w:val="1"/>
                <w:color w:val="auto"/>
              </w:rPr>
            </w:pPr>
          </w:p>
        </w:tc>
      </w:tr>
      <w:tr>
        <w:trPr>
          <w:trHeight w:val="432"/>
        </w:trPr>
        <w:tc>
          <w:tcPr>
            <w:tcW w:w="760" w:type="dxa"/>
            <w:vAlign w:val="bottom"/>
          </w:tcPr>
          <w:p>
            <w:pPr>
              <w:spacing w:after="0"/>
              <w:rPr>
                <w:sz w:val="24"/>
                <w:szCs w:val="24"/>
                <w:color w:val="auto"/>
              </w:rPr>
            </w:pPr>
          </w:p>
        </w:tc>
        <w:tc>
          <w:tcPr>
            <w:tcW w:w="4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By: /s/ Brian M. Begg</w:t>
            </w:r>
          </w:p>
        </w:tc>
        <w:tc>
          <w:tcPr>
            <w:tcW w:w="0" w:type="dxa"/>
            <w:vAlign w:val="bottom"/>
          </w:tcPr>
          <w:p>
            <w:pPr>
              <w:spacing w:after="0"/>
              <w:rPr>
                <w:sz w:val="1"/>
                <w:szCs w:val="1"/>
                <w:color w:val="auto"/>
              </w:rPr>
            </w:pPr>
          </w:p>
        </w:tc>
      </w:tr>
      <w:tr>
        <w:trPr>
          <w:trHeight w:val="205"/>
        </w:trPr>
        <w:tc>
          <w:tcPr>
            <w:tcW w:w="760" w:type="dxa"/>
            <w:vAlign w:val="bottom"/>
          </w:tcPr>
          <w:p>
            <w:pPr>
              <w:spacing w:after="0"/>
              <w:rPr>
                <w:sz w:val="17"/>
                <w:szCs w:val="17"/>
                <w:color w:val="auto"/>
              </w:rPr>
            </w:pPr>
          </w:p>
        </w:tc>
        <w:tc>
          <w:tcPr>
            <w:tcW w:w="880" w:type="dxa"/>
            <w:vAlign w:val="bottom"/>
          </w:tcPr>
          <w:p>
            <w:pPr>
              <w:ind w:left="520"/>
              <w:spacing w:after="0" w:line="205" w:lineRule="exact"/>
              <w:rPr>
                <w:sz w:val="20"/>
                <w:szCs w:val="20"/>
                <w:color w:val="auto"/>
              </w:rPr>
            </w:pPr>
            <w:r>
              <w:rPr>
                <w:rFonts w:ascii="Times New Roman" w:cs="Times New Roman" w:eastAsia="Times New Roman" w:hAnsi="Times New Roman"/>
                <w:sz w:val="18"/>
                <w:szCs w:val="18"/>
                <w:color w:val="auto"/>
                <w:w w:val="70"/>
              </w:rPr>
              <w:t>Name:</w:t>
            </w:r>
          </w:p>
        </w:tc>
        <w:tc>
          <w:tcPr>
            <w:tcW w:w="4040" w:type="dxa"/>
            <w:vAlign w:val="bottom"/>
            <w:tcBorders>
              <w:top w:val="single" w:sz="8" w:color="auto"/>
            </w:tcBorders>
          </w:tcPr>
          <w:p>
            <w:pPr>
              <w:jc w:val="right"/>
              <w:ind w:right="2710"/>
              <w:spacing w:after="0" w:line="205" w:lineRule="exact"/>
              <w:rPr>
                <w:sz w:val="20"/>
                <w:szCs w:val="20"/>
                <w:color w:val="auto"/>
              </w:rPr>
            </w:pPr>
            <w:r>
              <w:rPr>
                <w:rFonts w:ascii="Times New Roman" w:cs="Times New Roman" w:eastAsia="Times New Roman" w:hAnsi="Times New Roman"/>
                <w:sz w:val="18"/>
                <w:szCs w:val="18"/>
                <w:color w:val="auto"/>
              </w:rPr>
              <w:t>Brian M. Begg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4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Title: Senior Vice President and Treasurer</w:t>
            </w:r>
          </w:p>
        </w:tc>
        <w:tc>
          <w:tcPr>
            <w:tcW w:w="0" w:type="dxa"/>
            <w:vAlign w:val="bottom"/>
          </w:tcPr>
          <w:p>
            <w:pPr>
              <w:spacing w:after="0"/>
              <w:rPr>
                <w:sz w:val="1"/>
                <w:szCs w:val="1"/>
                <w:color w:val="auto"/>
              </w:rPr>
            </w:pPr>
          </w:p>
        </w:tc>
      </w:tr>
      <w:tr>
        <w:trPr>
          <w:trHeight w:val="344"/>
        </w:trPr>
        <w:tc>
          <w:tcPr>
            <w:tcW w:w="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S-1</w:t>
            </w:r>
          </w:p>
        </w:tc>
        <w:tc>
          <w:tcPr>
            <w:tcW w:w="880" w:type="dxa"/>
            <w:vAlign w:val="bottom"/>
          </w:tcPr>
          <w:p>
            <w:pPr>
              <w:spacing w:after="0"/>
              <w:rPr>
                <w:sz w:val="24"/>
                <w:szCs w:val="24"/>
                <w:color w:val="auto"/>
              </w:rPr>
            </w:pPr>
          </w:p>
        </w:tc>
        <w:tc>
          <w:tcPr>
            <w:tcW w:w="4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Eighth Amendment to</w:t>
            </w:r>
          </w:p>
        </w:tc>
        <w:tc>
          <w:tcPr>
            <w:tcW w:w="0" w:type="dxa"/>
            <w:vAlign w:val="bottom"/>
          </w:tcPr>
          <w:p>
            <w:pPr>
              <w:spacing w:after="0"/>
              <w:rPr>
                <w:sz w:val="1"/>
                <w:szCs w:val="1"/>
                <w:color w:val="auto"/>
              </w:rPr>
            </w:pPr>
          </w:p>
        </w:tc>
      </w:tr>
      <w:tr>
        <w:trPr>
          <w:trHeight w:val="128"/>
        </w:trPr>
        <w:tc>
          <w:tcPr>
            <w:tcW w:w="76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40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Fifth A&amp;R RPA</w:t>
            </w:r>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0580"/>
          </w:cols>
          <w:pgMar w:left="880" w:top="270" w:right="439" w:bottom="1440" w:gutter="0" w:footer="0" w:header="0"/>
        </w:sectPr>
      </w:pPr>
    </w:p>
    <w:bookmarkStart w:id="145" w:name="page146"/>
    <w:bookmarkEnd w:id="145"/>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PNC BANK, NATIONAL ASSOCIATION,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Committed Purchaser</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Imad Naja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Imad Naja</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Senior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PNC BANK, NATIONAL ASSOCIATION, as Purchaser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Agent for PNC Bank, National Association</w:t>
      </w:r>
    </w:p>
    <w:p>
      <w:pPr>
        <w:spacing w:after="0" w:line="200" w:lineRule="exact"/>
        <w:rPr>
          <w:sz w:val="20"/>
          <w:szCs w:val="20"/>
          <w:color w:val="auto"/>
        </w:rPr>
      </w:pPr>
    </w:p>
    <w:p>
      <w:pPr>
        <w:spacing w:after="0" w:line="2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Imad Naja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Imad Naja</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Senior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PNC BANK, NATIONAL ASSOCIATION,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Administrator</w:t>
      </w:r>
    </w:p>
    <w:p>
      <w:pPr>
        <w:spacing w:after="0" w:line="220" w:lineRule="exact"/>
        <w:rPr>
          <w:sz w:val="20"/>
          <w:szCs w:val="20"/>
          <w:color w:val="auto"/>
        </w:rPr>
      </w:pPr>
    </w:p>
    <w:tbl>
      <w:tblPr>
        <w:tblLayout w:type="fixed"/>
        <w:tblInd w:w="4340" w:type="dxa"/>
        <w:tblCellMar>
          <w:top w:w="0" w:type="dxa"/>
          <w:left w:w="0" w:type="dxa"/>
          <w:bottom w:w="0" w:type="dxa"/>
          <w:right w:w="0" w:type="dxa"/>
        </w:tblCellMar>
      </w:tblPr>
      <w:tr>
        <w:trPr>
          <w:trHeight w:val="234"/>
        </w:trPr>
        <w:tc>
          <w:tcPr>
            <w:tcW w:w="18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Imad Naja</w:t>
            </w:r>
          </w:p>
        </w:tc>
        <w:tc>
          <w:tcPr>
            <w:tcW w:w="0" w:type="dxa"/>
            <w:vAlign w:val="bottom"/>
          </w:tcPr>
          <w:p>
            <w:pPr>
              <w:spacing w:after="0"/>
              <w:rPr>
                <w:sz w:val="1"/>
                <w:szCs w:val="1"/>
                <w:color w:val="auto"/>
              </w:rPr>
            </w:pPr>
          </w:p>
        </w:tc>
      </w:tr>
      <w:tr>
        <w:trPr>
          <w:trHeight w:val="205"/>
        </w:trPr>
        <w:tc>
          <w:tcPr>
            <w:tcW w:w="1860" w:type="dxa"/>
            <w:vAlign w:val="bottom"/>
          </w:tcPr>
          <w:p>
            <w:pPr>
              <w:ind w:left="12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Imad Naja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w:t>
            </w:r>
          </w:p>
        </w:tc>
        <w:tc>
          <w:tcPr>
            <w:tcW w:w="0" w:type="dxa"/>
            <w:vAlign w:val="bottom"/>
          </w:tcPr>
          <w:p>
            <w:pPr>
              <w:spacing w:after="0"/>
              <w:rPr>
                <w:sz w:val="1"/>
                <w:szCs w:val="1"/>
                <w:color w:val="auto"/>
              </w:rPr>
            </w:pPr>
          </w:p>
        </w:tc>
      </w:tr>
      <w:tr>
        <w:trPr>
          <w:trHeight w:val="344"/>
        </w:trPr>
        <w:tc>
          <w:tcPr>
            <w:tcW w:w="1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S-2</w:t>
            </w:r>
          </w:p>
        </w:tc>
        <w:tc>
          <w:tcPr>
            <w:tcW w:w="3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Eighth Amendment to</w:t>
            </w:r>
          </w:p>
        </w:tc>
        <w:tc>
          <w:tcPr>
            <w:tcW w:w="0" w:type="dxa"/>
            <w:vAlign w:val="bottom"/>
          </w:tcPr>
          <w:p>
            <w:pPr>
              <w:spacing w:after="0"/>
              <w:rPr>
                <w:sz w:val="1"/>
                <w:szCs w:val="1"/>
                <w:color w:val="auto"/>
              </w:rPr>
            </w:pPr>
          </w:p>
        </w:tc>
      </w:tr>
      <w:tr>
        <w:trPr>
          <w:trHeight w:val="128"/>
        </w:trPr>
        <w:tc>
          <w:tcPr>
            <w:tcW w:w="1860" w:type="dxa"/>
            <w:vAlign w:val="bottom"/>
            <w:vMerge w:val="continue"/>
          </w:tcPr>
          <w:p>
            <w:pPr>
              <w:spacing w:after="0"/>
              <w:rPr>
                <w:sz w:val="11"/>
                <w:szCs w:val="11"/>
                <w:color w:val="auto"/>
              </w:rPr>
            </w:pPr>
          </w:p>
        </w:tc>
        <w:tc>
          <w:tcPr>
            <w:tcW w:w="38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Fifth A&amp;R RPA</w:t>
            </w:r>
          </w:p>
        </w:tc>
        <w:tc>
          <w:tcPr>
            <w:tcW w:w="0" w:type="dxa"/>
            <w:vAlign w:val="bottom"/>
          </w:tcPr>
          <w:p>
            <w:pPr>
              <w:spacing w:after="0"/>
              <w:rPr>
                <w:sz w:val="1"/>
                <w:szCs w:val="1"/>
                <w:color w:val="auto"/>
              </w:rPr>
            </w:pPr>
          </w:p>
        </w:tc>
      </w:tr>
      <w:tr>
        <w:trPr>
          <w:trHeight w:val="108"/>
        </w:trPr>
        <w:tc>
          <w:tcPr>
            <w:tcW w:w="1860" w:type="dxa"/>
            <w:vAlign w:val="bottom"/>
          </w:tcPr>
          <w:p>
            <w:pPr>
              <w:spacing w:after="0"/>
              <w:rPr>
                <w:sz w:val="9"/>
                <w:szCs w:val="9"/>
                <w:color w:val="auto"/>
              </w:rPr>
            </w:pPr>
          </w:p>
        </w:tc>
        <w:tc>
          <w:tcPr>
            <w:tcW w:w="3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0020"/>
          </w:cols>
          <w:pgMar w:left="1440" w:top="270" w:right="439" w:bottom="1440" w:gutter="0" w:footer="0" w:header="0"/>
        </w:sectPr>
      </w:pPr>
    </w:p>
    <w:bookmarkStart w:id="146" w:name="page147"/>
    <w:bookmarkEnd w:id="146"/>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WELLS FARGO BANK, NATIONAL ASSOCIATION, as a</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Committed Purchaser</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Anthony Ballard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Anthony Ballard</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Assistant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WELLS FARGO BANK, NATIONAL ASSOCIATION, as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Purchaser Agent for Wells Fargo Bank, National Association</w:t>
      </w:r>
    </w:p>
    <w:p>
      <w:pPr>
        <w:spacing w:after="0" w:line="218" w:lineRule="exact"/>
        <w:rPr>
          <w:sz w:val="20"/>
          <w:szCs w:val="20"/>
          <w:color w:val="auto"/>
        </w:rPr>
      </w:pPr>
    </w:p>
    <w:tbl>
      <w:tblPr>
        <w:tblLayout w:type="fixed"/>
        <w:tblInd w:w="4340" w:type="dxa"/>
        <w:tblCellMar>
          <w:top w:w="0" w:type="dxa"/>
          <w:left w:w="0" w:type="dxa"/>
          <w:bottom w:w="0" w:type="dxa"/>
          <w:right w:w="0" w:type="dxa"/>
        </w:tblCellMar>
      </w:tblPr>
      <w:tr>
        <w:trPr>
          <w:trHeight w:val="234"/>
        </w:trPr>
        <w:tc>
          <w:tcPr>
            <w:tcW w:w="18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Anthony Ballard</w:t>
            </w:r>
          </w:p>
        </w:tc>
        <w:tc>
          <w:tcPr>
            <w:tcW w:w="0" w:type="dxa"/>
            <w:vAlign w:val="bottom"/>
          </w:tcPr>
          <w:p>
            <w:pPr>
              <w:spacing w:after="0"/>
              <w:rPr>
                <w:sz w:val="1"/>
                <w:szCs w:val="1"/>
                <w:color w:val="auto"/>
              </w:rPr>
            </w:pPr>
          </w:p>
        </w:tc>
      </w:tr>
      <w:tr>
        <w:trPr>
          <w:trHeight w:val="205"/>
        </w:trPr>
        <w:tc>
          <w:tcPr>
            <w:tcW w:w="1860" w:type="dxa"/>
            <w:vAlign w:val="bottom"/>
          </w:tcPr>
          <w:p>
            <w:pPr>
              <w:ind w:left="12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Anthony Ballard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Assistant Vice President</w:t>
            </w:r>
          </w:p>
        </w:tc>
        <w:tc>
          <w:tcPr>
            <w:tcW w:w="0" w:type="dxa"/>
            <w:vAlign w:val="bottom"/>
          </w:tcPr>
          <w:p>
            <w:pPr>
              <w:spacing w:after="0"/>
              <w:rPr>
                <w:sz w:val="1"/>
                <w:szCs w:val="1"/>
                <w:color w:val="auto"/>
              </w:rPr>
            </w:pPr>
          </w:p>
        </w:tc>
      </w:tr>
      <w:tr>
        <w:trPr>
          <w:trHeight w:val="344"/>
        </w:trPr>
        <w:tc>
          <w:tcPr>
            <w:tcW w:w="1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S-3</w:t>
            </w:r>
          </w:p>
        </w:tc>
        <w:tc>
          <w:tcPr>
            <w:tcW w:w="3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Eighth Amendment to</w:t>
            </w:r>
          </w:p>
        </w:tc>
        <w:tc>
          <w:tcPr>
            <w:tcW w:w="0" w:type="dxa"/>
            <w:vAlign w:val="bottom"/>
          </w:tcPr>
          <w:p>
            <w:pPr>
              <w:spacing w:after="0"/>
              <w:rPr>
                <w:sz w:val="1"/>
                <w:szCs w:val="1"/>
                <w:color w:val="auto"/>
              </w:rPr>
            </w:pPr>
          </w:p>
        </w:tc>
      </w:tr>
      <w:tr>
        <w:trPr>
          <w:trHeight w:val="128"/>
        </w:trPr>
        <w:tc>
          <w:tcPr>
            <w:tcW w:w="1860" w:type="dxa"/>
            <w:vAlign w:val="bottom"/>
            <w:vMerge w:val="continue"/>
          </w:tcPr>
          <w:p>
            <w:pPr>
              <w:spacing w:after="0"/>
              <w:rPr>
                <w:sz w:val="11"/>
                <w:szCs w:val="11"/>
                <w:color w:val="auto"/>
              </w:rPr>
            </w:pPr>
          </w:p>
        </w:tc>
        <w:tc>
          <w:tcPr>
            <w:tcW w:w="38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Fifth A&amp;R RPA</w:t>
            </w:r>
          </w:p>
        </w:tc>
        <w:tc>
          <w:tcPr>
            <w:tcW w:w="0" w:type="dxa"/>
            <w:vAlign w:val="bottom"/>
          </w:tcPr>
          <w:p>
            <w:pPr>
              <w:spacing w:after="0"/>
              <w:rPr>
                <w:sz w:val="1"/>
                <w:szCs w:val="1"/>
                <w:color w:val="auto"/>
              </w:rPr>
            </w:pPr>
          </w:p>
        </w:tc>
      </w:tr>
      <w:tr>
        <w:trPr>
          <w:trHeight w:val="108"/>
        </w:trPr>
        <w:tc>
          <w:tcPr>
            <w:tcW w:w="1860" w:type="dxa"/>
            <w:vAlign w:val="bottom"/>
          </w:tcPr>
          <w:p>
            <w:pPr>
              <w:spacing w:after="0"/>
              <w:rPr>
                <w:sz w:val="9"/>
                <w:szCs w:val="9"/>
                <w:color w:val="auto"/>
              </w:rPr>
            </w:pPr>
          </w:p>
        </w:tc>
        <w:tc>
          <w:tcPr>
            <w:tcW w:w="3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0020"/>
          </w:cols>
          <w:pgMar w:left="1440" w:top="270" w:right="439" w:bottom="1440" w:gutter="0" w:footer="0" w:header="0"/>
        </w:sectPr>
      </w:pPr>
    </w:p>
    <w:bookmarkStart w:id="147" w:name="page148"/>
    <w:bookmarkEnd w:id="147"/>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FIFTH THIRD BANK, NATIONAL ASSOCIATION, as 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Committed Purchaser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D. Jones</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Andrew D. Jones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SVP</w:t>
            </w:r>
          </w:p>
        </w:tc>
      </w:tr>
    </w:tbl>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FIFTH THIRD BANK, NATIONAL ASSOCIATION,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Purchaser Agent for Fifth Third Bank, National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Association</w:t>
      </w:r>
    </w:p>
    <w:p>
      <w:pPr>
        <w:spacing w:after="0" w:line="220" w:lineRule="exact"/>
        <w:rPr>
          <w:sz w:val="20"/>
          <w:szCs w:val="20"/>
          <w:color w:val="auto"/>
        </w:rPr>
      </w:pPr>
    </w:p>
    <w:tbl>
      <w:tblPr>
        <w:tblLayout w:type="fixed"/>
        <w:tblInd w:w="4340" w:type="dxa"/>
        <w:tblCellMar>
          <w:top w:w="0" w:type="dxa"/>
          <w:left w:w="0" w:type="dxa"/>
          <w:bottom w:w="0" w:type="dxa"/>
          <w:right w:w="0" w:type="dxa"/>
        </w:tblCellMar>
      </w:tblPr>
      <w:tr>
        <w:trPr>
          <w:trHeight w:val="234"/>
        </w:trPr>
        <w:tc>
          <w:tcPr>
            <w:tcW w:w="18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Andrew D. Jones</w:t>
            </w:r>
          </w:p>
        </w:tc>
        <w:tc>
          <w:tcPr>
            <w:tcW w:w="0" w:type="dxa"/>
            <w:vAlign w:val="bottom"/>
          </w:tcPr>
          <w:p>
            <w:pPr>
              <w:spacing w:after="0"/>
              <w:rPr>
                <w:sz w:val="1"/>
                <w:szCs w:val="1"/>
                <w:color w:val="auto"/>
              </w:rPr>
            </w:pPr>
          </w:p>
        </w:tc>
      </w:tr>
      <w:tr>
        <w:trPr>
          <w:trHeight w:val="205"/>
        </w:trPr>
        <w:tc>
          <w:tcPr>
            <w:tcW w:w="1860" w:type="dxa"/>
            <w:vAlign w:val="bottom"/>
          </w:tcPr>
          <w:p>
            <w:pPr>
              <w:ind w:left="12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Andrew D. Jones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SVP</w:t>
            </w:r>
          </w:p>
        </w:tc>
        <w:tc>
          <w:tcPr>
            <w:tcW w:w="0" w:type="dxa"/>
            <w:vAlign w:val="bottom"/>
          </w:tcPr>
          <w:p>
            <w:pPr>
              <w:spacing w:after="0"/>
              <w:rPr>
                <w:sz w:val="1"/>
                <w:szCs w:val="1"/>
                <w:color w:val="auto"/>
              </w:rPr>
            </w:pPr>
          </w:p>
        </w:tc>
      </w:tr>
      <w:tr>
        <w:trPr>
          <w:trHeight w:val="344"/>
        </w:trPr>
        <w:tc>
          <w:tcPr>
            <w:tcW w:w="1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S-4</w:t>
            </w:r>
          </w:p>
        </w:tc>
        <w:tc>
          <w:tcPr>
            <w:tcW w:w="3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Eighth Amendment to</w:t>
            </w:r>
          </w:p>
        </w:tc>
        <w:tc>
          <w:tcPr>
            <w:tcW w:w="0" w:type="dxa"/>
            <w:vAlign w:val="bottom"/>
          </w:tcPr>
          <w:p>
            <w:pPr>
              <w:spacing w:after="0"/>
              <w:rPr>
                <w:sz w:val="1"/>
                <w:szCs w:val="1"/>
                <w:color w:val="auto"/>
              </w:rPr>
            </w:pPr>
          </w:p>
        </w:tc>
      </w:tr>
      <w:tr>
        <w:trPr>
          <w:trHeight w:val="128"/>
        </w:trPr>
        <w:tc>
          <w:tcPr>
            <w:tcW w:w="1860" w:type="dxa"/>
            <w:vAlign w:val="bottom"/>
            <w:vMerge w:val="continue"/>
          </w:tcPr>
          <w:p>
            <w:pPr>
              <w:spacing w:after="0"/>
              <w:rPr>
                <w:sz w:val="11"/>
                <w:szCs w:val="11"/>
                <w:color w:val="auto"/>
              </w:rPr>
            </w:pPr>
          </w:p>
        </w:tc>
        <w:tc>
          <w:tcPr>
            <w:tcW w:w="38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Fifth A&amp;R RPA</w:t>
            </w:r>
          </w:p>
        </w:tc>
        <w:tc>
          <w:tcPr>
            <w:tcW w:w="0" w:type="dxa"/>
            <w:vAlign w:val="bottom"/>
          </w:tcPr>
          <w:p>
            <w:pPr>
              <w:spacing w:after="0"/>
              <w:rPr>
                <w:sz w:val="1"/>
                <w:szCs w:val="1"/>
                <w:color w:val="auto"/>
              </w:rPr>
            </w:pPr>
          </w:p>
        </w:tc>
      </w:tr>
      <w:tr>
        <w:trPr>
          <w:trHeight w:val="108"/>
        </w:trPr>
        <w:tc>
          <w:tcPr>
            <w:tcW w:w="1860" w:type="dxa"/>
            <w:vAlign w:val="bottom"/>
          </w:tcPr>
          <w:p>
            <w:pPr>
              <w:spacing w:after="0"/>
              <w:rPr>
                <w:sz w:val="9"/>
                <w:szCs w:val="9"/>
                <w:color w:val="auto"/>
              </w:rPr>
            </w:pPr>
          </w:p>
        </w:tc>
        <w:tc>
          <w:tcPr>
            <w:tcW w:w="3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0020"/>
          </w:cols>
          <w:pgMar w:left="1440" w:top="270" w:right="439" w:bottom="1440" w:gutter="0" w:footer="0" w:header="0"/>
        </w:sectPr>
      </w:pPr>
    </w:p>
    <w:bookmarkStart w:id="148" w:name="page149"/>
    <w:bookmarkEnd w:id="148"/>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LIBERTY STREET FUNDING LLC, as a Conduit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Purchaser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J. Corrigan</w:t>
            </w:r>
          </w:p>
        </w:tc>
      </w:tr>
      <w:tr>
        <w:trPr>
          <w:trHeight w:val="22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Kevin J. Corrigan</w:t>
            </w:r>
          </w:p>
        </w:tc>
      </w:tr>
      <w:tr>
        <w:trPr>
          <w:trHeight w:val="22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21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THE BANK OF NOVA SCOTIA, as Purchaser Agent for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Liberty Street Funding LLC and a Committed Purchaser</w:t>
      </w:r>
    </w:p>
    <w:p>
      <w:pPr>
        <w:spacing w:after="0" w:line="207" w:lineRule="exact"/>
        <w:rPr>
          <w:sz w:val="20"/>
          <w:szCs w:val="20"/>
          <w:color w:val="auto"/>
        </w:rPr>
      </w:pPr>
    </w:p>
    <w:tbl>
      <w:tblPr>
        <w:tblLayout w:type="fixed"/>
        <w:tblInd w:w="4340" w:type="dxa"/>
        <w:tblCellMar>
          <w:top w:w="0" w:type="dxa"/>
          <w:left w:w="0" w:type="dxa"/>
          <w:bottom w:w="0" w:type="dxa"/>
          <w:right w:w="0" w:type="dxa"/>
        </w:tblCellMar>
      </w:tblPr>
      <w:tr>
        <w:trPr>
          <w:trHeight w:val="234"/>
        </w:trPr>
        <w:tc>
          <w:tcPr>
            <w:tcW w:w="18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Brad Shields</w:t>
            </w:r>
          </w:p>
        </w:tc>
        <w:tc>
          <w:tcPr>
            <w:tcW w:w="0" w:type="dxa"/>
            <w:vAlign w:val="bottom"/>
          </w:tcPr>
          <w:p>
            <w:pPr>
              <w:spacing w:after="0"/>
              <w:rPr>
                <w:sz w:val="1"/>
                <w:szCs w:val="1"/>
                <w:color w:val="auto"/>
              </w:rPr>
            </w:pPr>
          </w:p>
        </w:tc>
      </w:tr>
      <w:tr>
        <w:trPr>
          <w:trHeight w:val="205"/>
        </w:trPr>
        <w:tc>
          <w:tcPr>
            <w:tcW w:w="1860" w:type="dxa"/>
            <w:vAlign w:val="bottom"/>
          </w:tcPr>
          <w:p>
            <w:pPr>
              <w:ind w:left="12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Brad Shields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344"/>
        </w:trPr>
        <w:tc>
          <w:tcPr>
            <w:tcW w:w="1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S-5</w:t>
            </w:r>
          </w:p>
        </w:tc>
        <w:tc>
          <w:tcPr>
            <w:tcW w:w="3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Eighth Amendment to</w:t>
            </w:r>
          </w:p>
        </w:tc>
        <w:tc>
          <w:tcPr>
            <w:tcW w:w="0" w:type="dxa"/>
            <w:vAlign w:val="bottom"/>
          </w:tcPr>
          <w:p>
            <w:pPr>
              <w:spacing w:after="0"/>
              <w:rPr>
                <w:sz w:val="1"/>
                <w:szCs w:val="1"/>
                <w:color w:val="auto"/>
              </w:rPr>
            </w:pPr>
          </w:p>
        </w:tc>
      </w:tr>
      <w:tr>
        <w:trPr>
          <w:trHeight w:val="128"/>
        </w:trPr>
        <w:tc>
          <w:tcPr>
            <w:tcW w:w="1860" w:type="dxa"/>
            <w:vAlign w:val="bottom"/>
            <w:vMerge w:val="continue"/>
          </w:tcPr>
          <w:p>
            <w:pPr>
              <w:spacing w:after="0"/>
              <w:rPr>
                <w:sz w:val="11"/>
                <w:szCs w:val="11"/>
                <w:color w:val="auto"/>
              </w:rPr>
            </w:pPr>
          </w:p>
        </w:tc>
        <w:tc>
          <w:tcPr>
            <w:tcW w:w="38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Fifth A&amp;R RPA</w:t>
            </w:r>
          </w:p>
        </w:tc>
        <w:tc>
          <w:tcPr>
            <w:tcW w:w="0" w:type="dxa"/>
            <w:vAlign w:val="bottom"/>
          </w:tcPr>
          <w:p>
            <w:pPr>
              <w:spacing w:after="0"/>
              <w:rPr>
                <w:sz w:val="1"/>
                <w:szCs w:val="1"/>
                <w:color w:val="auto"/>
              </w:rPr>
            </w:pPr>
          </w:p>
        </w:tc>
      </w:tr>
      <w:tr>
        <w:trPr>
          <w:trHeight w:val="108"/>
        </w:trPr>
        <w:tc>
          <w:tcPr>
            <w:tcW w:w="1860" w:type="dxa"/>
            <w:vAlign w:val="bottom"/>
          </w:tcPr>
          <w:p>
            <w:pPr>
              <w:spacing w:after="0"/>
              <w:rPr>
                <w:sz w:val="9"/>
                <w:szCs w:val="9"/>
                <w:color w:val="auto"/>
              </w:rPr>
            </w:pPr>
          </w:p>
        </w:tc>
        <w:tc>
          <w:tcPr>
            <w:tcW w:w="3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0020"/>
          </w:cols>
          <w:pgMar w:left="1440" w:top="270" w:right="439" w:bottom="1440" w:gutter="0" w:footer="0" w:header="0"/>
        </w:sectPr>
      </w:pPr>
    </w:p>
    <w:bookmarkStart w:id="149" w:name="page150"/>
    <w:bookmarkEnd w:id="149"/>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COMPUTERSHARE TRUST COMPANY OF CANADA,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 its capacity as trustee of RELIANT TRUST, by its U.S.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Financial Services Agent, THE TORONTO-DOMINION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BANK, as a Conduit Purchaser</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Luna K.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Luna K. Mills</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GTA FUNDING LLC, as a Conduit Purchaser</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Kevin J. Corrigan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Kevin J. Corrigan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THE TORONTO-DOMINION BANK, as Purchaser Agent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for Reliant Trust and GTA Funding LLC and a Committed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Purchaser</w:t>
      </w:r>
    </w:p>
    <w:p>
      <w:pPr>
        <w:spacing w:after="0" w:line="207" w:lineRule="exact"/>
        <w:rPr>
          <w:sz w:val="20"/>
          <w:szCs w:val="20"/>
          <w:color w:val="auto"/>
        </w:rPr>
      </w:pPr>
    </w:p>
    <w:tbl>
      <w:tblPr>
        <w:tblLayout w:type="fixed"/>
        <w:tblInd w:w="4340" w:type="dxa"/>
        <w:tblCellMar>
          <w:top w:w="0" w:type="dxa"/>
          <w:left w:w="0" w:type="dxa"/>
          <w:bottom w:w="0" w:type="dxa"/>
          <w:right w:w="0" w:type="dxa"/>
        </w:tblCellMar>
      </w:tblPr>
      <w:tr>
        <w:trPr>
          <w:trHeight w:val="234"/>
        </w:trPr>
        <w:tc>
          <w:tcPr>
            <w:tcW w:w="18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Luna K. Mills</w:t>
            </w:r>
          </w:p>
        </w:tc>
        <w:tc>
          <w:tcPr>
            <w:tcW w:w="0" w:type="dxa"/>
            <w:vAlign w:val="bottom"/>
          </w:tcPr>
          <w:p>
            <w:pPr>
              <w:spacing w:after="0"/>
              <w:rPr>
                <w:sz w:val="1"/>
                <w:szCs w:val="1"/>
                <w:color w:val="auto"/>
              </w:rPr>
            </w:pPr>
          </w:p>
        </w:tc>
      </w:tr>
      <w:tr>
        <w:trPr>
          <w:trHeight w:val="205"/>
        </w:trPr>
        <w:tc>
          <w:tcPr>
            <w:tcW w:w="1860" w:type="dxa"/>
            <w:vAlign w:val="bottom"/>
          </w:tcPr>
          <w:p>
            <w:pPr>
              <w:ind w:left="12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Luna K. Mills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Director</w:t>
            </w:r>
          </w:p>
        </w:tc>
        <w:tc>
          <w:tcPr>
            <w:tcW w:w="0" w:type="dxa"/>
            <w:vAlign w:val="bottom"/>
          </w:tcPr>
          <w:p>
            <w:pPr>
              <w:spacing w:after="0"/>
              <w:rPr>
                <w:sz w:val="1"/>
                <w:szCs w:val="1"/>
                <w:color w:val="auto"/>
              </w:rPr>
            </w:pPr>
          </w:p>
        </w:tc>
      </w:tr>
      <w:tr>
        <w:trPr>
          <w:trHeight w:val="344"/>
        </w:trPr>
        <w:tc>
          <w:tcPr>
            <w:tcW w:w="1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S-6</w:t>
            </w:r>
          </w:p>
        </w:tc>
        <w:tc>
          <w:tcPr>
            <w:tcW w:w="3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Eighth Amendment to</w:t>
            </w:r>
          </w:p>
        </w:tc>
        <w:tc>
          <w:tcPr>
            <w:tcW w:w="0" w:type="dxa"/>
            <w:vAlign w:val="bottom"/>
          </w:tcPr>
          <w:p>
            <w:pPr>
              <w:spacing w:after="0"/>
              <w:rPr>
                <w:sz w:val="1"/>
                <w:szCs w:val="1"/>
                <w:color w:val="auto"/>
              </w:rPr>
            </w:pPr>
          </w:p>
        </w:tc>
      </w:tr>
      <w:tr>
        <w:trPr>
          <w:trHeight w:val="128"/>
        </w:trPr>
        <w:tc>
          <w:tcPr>
            <w:tcW w:w="1860" w:type="dxa"/>
            <w:vAlign w:val="bottom"/>
            <w:vMerge w:val="continue"/>
          </w:tcPr>
          <w:p>
            <w:pPr>
              <w:spacing w:after="0"/>
              <w:rPr>
                <w:sz w:val="11"/>
                <w:szCs w:val="11"/>
                <w:color w:val="auto"/>
              </w:rPr>
            </w:pPr>
          </w:p>
        </w:tc>
        <w:tc>
          <w:tcPr>
            <w:tcW w:w="38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Fifth A&amp;R RPA</w:t>
            </w:r>
          </w:p>
        </w:tc>
        <w:tc>
          <w:tcPr>
            <w:tcW w:w="0" w:type="dxa"/>
            <w:vAlign w:val="bottom"/>
          </w:tcPr>
          <w:p>
            <w:pPr>
              <w:spacing w:after="0"/>
              <w:rPr>
                <w:sz w:val="1"/>
                <w:szCs w:val="1"/>
                <w:color w:val="auto"/>
              </w:rPr>
            </w:pPr>
          </w:p>
        </w:tc>
      </w:tr>
      <w:tr>
        <w:trPr>
          <w:trHeight w:val="108"/>
        </w:trPr>
        <w:tc>
          <w:tcPr>
            <w:tcW w:w="1860" w:type="dxa"/>
            <w:vAlign w:val="bottom"/>
          </w:tcPr>
          <w:p>
            <w:pPr>
              <w:spacing w:after="0"/>
              <w:rPr>
                <w:sz w:val="9"/>
                <w:szCs w:val="9"/>
                <w:color w:val="auto"/>
              </w:rPr>
            </w:pPr>
          </w:p>
        </w:tc>
        <w:tc>
          <w:tcPr>
            <w:tcW w:w="3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0020"/>
          </w:cols>
          <w:pgMar w:left="1440" w:top="270" w:right="439" w:bottom="1440" w:gutter="0" w:footer="0" w:header="0"/>
        </w:sectPr>
      </w:pPr>
    </w:p>
    <w:bookmarkStart w:id="150" w:name="page151"/>
    <w:bookmarkEnd w:id="150"/>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OF AMERICA, NATIONAL ASSOCIATION, as 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Committed Purchaser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Ross Glynn</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Ross Glynn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w:t>
            </w:r>
          </w:p>
        </w:tc>
      </w:tr>
    </w:tbl>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BANK OF AMERICA, NATIONAL ASSOCIATION, as 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Purchaser Agent for Bank of America, N.A.</w:t>
      </w:r>
    </w:p>
    <w:p>
      <w:pPr>
        <w:spacing w:after="0" w:line="207" w:lineRule="exact"/>
        <w:rPr>
          <w:sz w:val="20"/>
          <w:szCs w:val="20"/>
          <w:color w:val="auto"/>
        </w:rPr>
      </w:pPr>
    </w:p>
    <w:tbl>
      <w:tblPr>
        <w:tblLayout w:type="fixed"/>
        <w:tblInd w:w="4340" w:type="dxa"/>
        <w:tblCellMar>
          <w:top w:w="0" w:type="dxa"/>
          <w:left w:w="0" w:type="dxa"/>
          <w:bottom w:w="0" w:type="dxa"/>
          <w:right w:w="0" w:type="dxa"/>
        </w:tblCellMar>
      </w:tblPr>
      <w:tr>
        <w:trPr>
          <w:trHeight w:val="234"/>
        </w:trPr>
        <w:tc>
          <w:tcPr>
            <w:tcW w:w="18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Ross Glynn</w:t>
            </w:r>
          </w:p>
        </w:tc>
        <w:tc>
          <w:tcPr>
            <w:tcW w:w="0" w:type="dxa"/>
            <w:vAlign w:val="bottom"/>
          </w:tcPr>
          <w:p>
            <w:pPr>
              <w:spacing w:after="0"/>
              <w:rPr>
                <w:sz w:val="1"/>
                <w:szCs w:val="1"/>
                <w:color w:val="auto"/>
              </w:rPr>
            </w:pPr>
          </w:p>
        </w:tc>
      </w:tr>
      <w:tr>
        <w:trPr>
          <w:trHeight w:val="205"/>
        </w:trPr>
        <w:tc>
          <w:tcPr>
            <w:tcW w:w="1860" w:type="dxa"/>
            <w:vAlign w:val="bottom"/>
          </w:tcPr>
          <w:p>
            <w:pPr>
              <w:ind w:left="12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Ross Glynn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w:t>
            </w:r>
          </w:p>
        </w:tc>
        <w:tc>
          <w:tcPr>
            <w:tcW w:w="0" w:type="dxa"/>
            <w:vAlign w:val="bottom"/>
          </w:tcPr>
          <w:p>
            <w:pPr>
              <w:spacing w:after="0"/>
              <w:rPr>
                <w:sz w:val="1"/>
                <w:szCs w:val="1"/>
                <w:color w:val="auto"/>
              </w:rPr>
            </w:pPr>
          </w:p>
        </w:tc>
      </w:tr>
      <w:tr>
        <w:trPr>
          <w:trHeight w:val="344"/>
        </w:trPr>
        <w:tc>
          <w:tcPr>
            <w:tcW w:w="1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S-7</w:t>
            </w:r>
          </w:p>
        </w:tc>
        <w:tc>
          <w:tcPr>
            <w:tcW w:w="3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Eighth Amendment to</w:t>
            </w:r>
          </w:p>
        </w:tc>
        <w:tc>
          <w:tcPr>
            <w:tcW w:w="0" w:type="dxa"/>
            <w:vAlign w:val="bottom"/>
          </w:tcPr>
          <w:p>
            <w:pPr>
              <w:spacing w:after="0"/>
              <w:rPr>
                <w:sz w:val="1"/>
                <w:szCs w:val="1"/>
                <w:color w:val="auto"/>
              </w:rPr>
            </w:pPr>
          </w:p>
        </w:tc>
      </w:tr>
      <w:tr>
        <w:trPr>
          <w:trHeight w:val="128"/>
        </w:trPr>
        <w:tc>
          <w:tcPr>
            <w:tcW w:w="1860" w:type="dxa"/>
            <w:vAlign w:val="bottom"/>
            <w:vMerge w:val="continue"/>
          </w:tcPr>
          <w:p>
            <w:pPr>
              <w:spacing w:after="0"/>
              <w:rPr>
                <w:sz w:val="11"/>
                <w:szCs w:val="11"/>
                <w:color w:val="auto"/>
              </w:rPr>
            </w:pPr>
          </w:p>
        </w:tc>
        <w:tc>
          <w:tcPr>
            <w:tcW w:w="38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Fifth A&amp;R RPA</w:t>
            </w:r>
          </w:p>
        </w:tc>
        <w:tc>
          <w:tcPr>
            <w:tcW w:w="0" w:type="dxa"/>
            <w:vAlign w:val="bottom"/>
          </w:tcPr>
          <w:p>
            <w:pPr>
              <w:spacing w:after="0"/>
              <w:rPr>
                <w:sz w:val="1"/>
                <w:szCs w:val="1"/>
                <w:color w:val="auto"/>
              </w:rPr>
            </w:pPr>
          </w:p>
        </w:tc>
      </w:tr>
      <w:tr>
        <w:trPr>
          <w:trHeight w:val="108"/>
        </w:trPr>
        <w:tc>
          <w:tcPr>
            <w:tcW w:w="1860" w:type="dxa"/>
            <w:vAlign w:val="bottom"/>
          </w:tcPr>
          <w:p>
            <w:pPr>
              <w:spacing w:after="0"/>
              <w:rPr>
                <w:sz w:val="9"/>
                <w:szCs w:val="9"/>
                <w:color w:val="auto"/>
              </w:rPr>
            </w:pPr>
          </w:p>
        </w:tc>
        <w:tc>
          <w:tcPr>
            <w:tcW w:w="3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0020"/>
          </w:cols>
          <w:pgMar w:left="1440" w:top="270" w:right="439" w:bottom="1440" w:gutter="0" w:footer="0" w:header="0"/>
        </w:sectPr>
      </w:pPr>
    </w:p>
    <w:bookmarkStart w:id="151" w:name="page152"/>
    <w:bookmarkEnd w:id="151"/>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CANADIAN IMPERIAL BANK OF COMMERCE, as 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Purchaser Agent for Macro Trust and Bay Square Funding</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LLC and as a Committed Purchaser</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Nicole Persad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Nicole Persad</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Sunil Adalja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Sunil Adalja</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BAY SQUARE FUNDING LLC, as a Conduit Purchaser</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J. Corrigan</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Kevin J. Corrigan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Bernard J. Angelo</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Bernard J. Angelo</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COMPUTERSHARE TRUST COMPANY OF CANADA,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 its capacity as trustee of MACRO TRUST, by its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Financial Services Agent, CANADIAN IMPERIAL BANK</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OF COMMERCE, as a Conduit Purchaser</w:t>
      </w:r>
    </w:p>
    <w:p>
      <w:pPr>
        <w:spacing w:after="0" w:line="207" w:lineRule="exact"/>
        <w:rPr>
          <w:sz w:val="20"/>
          <w:szCs w:val="20"/>
          <w:color w:val="auto"/>
        </w:rPr>
      </w:pPr>
    </w:p>
    <w:tbl>
      <w:tblPr>
        <w:tblLayout w:type="fixed"/>
        <w:tblInd w:w="4340" w:type="dxa"/>
        <w:tblCellMar>
          <w:top w:w="0" w:type="dxa"/>
          <w:left w:w="0" w:type="dxa"/>
          <w:bottom w:w="0" w:type="dxa"/>
          <w:right w:w="0" w:type="dxa"/>
        </w:tblCellMar>
      </w:tblPr>
      <w:tr>
        <w:trPr>
          <w:trHeight w:val="234"/>
        </w:trPr>
        <w:tc>
          <w:tcPr>
            <w:tcW w:w="18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Nicole Persad</w:t>
            </w:r>
          </w:p>
        </w:tc>
        <w:tc>
          <w:tcPr>
            <w:tcW w:w="0" w:type="dxa"/>
            <w:vAlign w:val="bottom"/>
          </w:tcPr>
          <w:p>
            <w:pPr>
              <w:spacing w:after="0"/>
              <w:rPr>
                <w:sz w:val="1"/>
                <w:szCs w:val="1"/>
                <w:color w:val="auto"/>
              </w:rPr>
            </w:pPr>
          </w:p>
        </w:tc>
      </w:tr>
      <w:tr>
        <w:trPr>
          <w:trHeight w:val="205"/>
        </w:trPr>
        <w:tc>
          <w:tcPr>
            <w:tcW w:w="1860" w:type="dxa"/>
            <w:vAlign w:val="bottom"/>
          </w:tcPr>
          <w:p>
            <w:pPr>
              <w:ind w:left="12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Nicole Persad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Authorized Signatory</w:t>
            </w:r>
          </w:p>
        </w:tc>
        <w:tc>
          <w:tcPr>
            <w:tcW w:w="0" w:type="dxa"/>
            <w:vAlign w:val="bottom"/>
          </w:tcPr>
          <w:p>
            <w:pPr>
              <w:spacing w:after="0"/>
              <w:rPr>
                <w:sz w:val="1"/>
                <w:szCs w:val="1"/>
                <w:color w:val="auto"/>
              </w:rPr>
            </w:pPr>
          </w:p>
        </w:tc>
      </w:tr>
      <w:tr>
        <w:trPr>
          <w:trHeight w:val="432"/>
        </w:trPr>
        <w:tc>
          <w:tcPr>
            <w:tcW w:w="18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Sunil Adalja</w:t>
            </w:r>
          </w:p>
        </w:tc>
        <w:tc>
          <w:tcPr>
            <w:tcW w:w="0" w:type="dxa"/>
            <w:vAlign w:val="bottom"/>
          </w:tcPr>
          <w:p>
            <w:pPr>
              <w:spacing w:after="0"/>
              <w:rPr>
                <w:sz w:val="1"/>
                <w:szCs w:val="1"/>
                <w:color w:val="auto"/>
              </w:rPr>
            </w:pPr>
          </w:p>
        </w:tc>
      </w:tr>
      <w:tr>
        <w:trPr>
          <w:trHeight w:val="205"/>
        </w:trPr>
        <w:tc>
          <w:tcPr>
            <w:tcW w:w="1860" w:type="dxa"/>
            <w:vAlign w:val="bottom"/>
          </w:tcPr>
          <w:p>
            <w:pPr>
              <w:ind w:left="12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Sunil Adalja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Authorized Signatory</w:t>
            </w:r>
          </w:p>
        </w:tc>
        <w:tc>
          <w:tcPr>
            <w:tcW w:w="0" w:type="dxa"/>
            <w:vAlign w:val="bottom"/>
          </w:tcPr>
          <w:p>
            <w:pPr>
              <w:spacing w:after="0"/>
              <w:rPr>
                <w:sz w:val="1"/>
                <w:szCs w:val="1"/>
                <w:color w:val="auto"/>
              </w:rPr>
            </w:pPr>
          </w:p>
        </w:tc>
      </w:tr>
      <w:tr>
        <w:trPr>
          <w:trHeight w:val="344"/>
        </w:trPr>
        <w:tc>
          <w:tcPr>
            <w:tcW w:w="1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S-8</w:t>
            </w:r>
          </w:p>
        </w:tc>
        <w:tc>
          <w:tcPr>
            <w:tcW w:w="3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Eighth Amendment to</w:t>
            </w:r>
          </w:p>
        </w:tc>
        <w:tc>
          <w:tcPr>
            <w:tcW w:w="0" w:type="dxa"/>
            <w:vAlign w:val="bottom"/>
          </w:tcPr>
          <w:p>
            <w:pPr>
              <w:spacing w:after="0"/>
              <w:rPr>
                <w:sz w:val="1"/>
                <w:szCs w:val="1"/>
                <w:color w:val="auto"/>
              </w:rPr>
            </w:pPr>
          </w:p>
        </w:tc>
      </w:tr>
      <w:tr>
        <w:trPr>
          <w:trHeight w:val="128"/>
        </w:trPr>
        <w:tc>
          <w:tcPr>
            <w:tcW w:w="1860" w:type="dxa"/>
            <w:vAlign w:val="bottom"/>
            <w:vMerge w:val="continue"/>
          </w:tcPr>
          <w:p>
            <w:pPr>
              <w:spacing w:after="0"/>
              <w:rPr>
                <w:sz w:val="11"/>
                <w:szCs w:val="11"/>
                <w:color w:val="auto"/>
              </w:rPr>
            </w:pPr>
          </w:p>
        </w:tc>
        <w:tc>
          <w:tcPr>
            <w:tcW w:w="38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Fifth A&amp;R RPA</w:t>
            </w:r>
          </w:p>
        </w:tc>
        <w:tc>
          <w:tcPr>
            <w:tcW w:w="0" w:type="dxa"/>
            <w:vAlign w:val="bottom"/>
          </w:tcPr>
          <w:p>
            <w:pPr>
              <w:spacing w:after="0"/>
              <w:rPr>
                <w:sz w:val="1"/>
                <w:szCs w:val="1"/>
                <w:color w:val="auto"/>
              </w:rPr>
            </w:pPr>
          </w:p>
        </w:tc>
      </w:tr>
      <w:tr>
        <w:trPr>
          <w:trHeight w:val="108"/>
        </w:trPr>
        <w:tc>
          <w:tcPr>
            <w:tcW w:w="1860" w:type="dxa"/>
            <w:vAlign w:val="bottom"/>
          </w:tcPr>
          <w:p>
            <w:pPr>
              <w:spacing w:after="0"/>
              <w:rPr>
                <w:sz w:val="9"/>
                <w:szCs w:val="9"/>
                <w:color w:val="auto"/>
              </w:rPr>
            </w:pPr>
          </w:p>
        </w:tc>
        <w:tc>
          <w:tcPr>
            <w:tcW w:w="3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0020"/>
          </w:cols>
          <w:pgMar w:left="1440" w:top="270" w:right="439" w:bottom="1440" w:gutter="0" w:footer="0" w:header="0"/>
        </w:sectPr>
      </w:pPr>
    </w:p>
    <w:bookmarkStart w:id="152" w:name="page153"/>
    <w:bookmarkEnd w:id="15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HSBC BANK USA, NATIONAL ASSOCIATION, as 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Committed Purchaser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Jennifer Jordan</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Jennifer Jordan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HSBC SECURITIES (USA) INC., as Purchaser Agent for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HSBC Bank USA, National Association</w:t>
      </w:r>
    </w:p>
    <w:p>
      <w:pPr>
        <w:spacing w:after="0" w:line="207" w:lineRule="exact"/>
        <w:rPr>
          <w:sz w:val="20"/>
          <w:szCs w:val="20"/>
          <w:color w:val="auto"/>
        </w:rPr>
      </w:pPr>
    </w:p>
    <w:tbl>
      <w:tblPr>
        <w:tblLayout w:type="fixed"/>
        <w:tblInd w:w="4340" w:type="dxa"/>
        <w:tblCellMar>
          <w:top w:w="0" w:type="dxa"/>
          <w:left w:w="0" w:type="dxa"/>
          <w:bottom w:w="0" w:type="dxa"/>
          <w:right w:w="0" w:type="dxa"/>
        </w:tblCellMar>
      </w:tblPr>
      <w:tr>
        <w:trPr>
          <w:trHeight w:val="234"/>
        </w:trPr>
        <w:tc>
          <w:tcPr>
            <w:tcW w:w="18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Nicholas Walach</w:t>
            </w:r>
          </w:p>
        </w:tc>
        <w:tc>
          <w:tcPr>
            <w:tcW w:w="0" w:type="dxa"/>
            <w:vAlign w:val="bottom"/>
          </w:tcPr>
          <w:p>
            <w:pPr>
              <w:spacing w:after="0"/>
              <w:rPr>
                <w:sz w:val="1"/>
                <w:szCs w:val="1"/>
                <w:color w:val="auto"/>
              </w:rPr>
            </w:pPr>
          </w:p>
        </w:tc>
      </w:tr>
      <w:tr>
        <w:trPr>
          <w:trHeight w:val="205"/>
        </w:trPr>
        <w:tc>
          <w:tcPr>
            <w:tcW w:w="1860" w:type="dxa"/>
            <w:vAlign w:val="bottom"/>
          </w:tcPr>
          <w:p>
            <w:pPr>
              <w:ind w:left="12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Nicholas Walach</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Director</w:t>
            </w:r>
          </w:p>
        </w:tc>
        <w:tc>
          <w:tcPr>
            <w:tcW w:w="0" w:type="dxa"/>
            <w:vAlign w:val="bottom"/>
          </w:tcPr>
          <w:p>
            <w:pPr>
              <w:spacing w:after="0"/>
              <w:rPr>
                <w:sz w:val="1"/>
                <w:szCs w:val="1"/>
                <w:color w:val="auto"/>
              </w:rPr>
            </w:pPr>
          </w:p>
        </w:tc>
      </w:tr>
      <w:tr>
        <w:trPr>
          <w:trHeight w:val="344"/>
        </w:trPr>
        <w:tc>
          <w:tcPr>
            <w:tcW w:w="1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S-9</w:t>
            </w:r>
          </w:p>
        </w:tc>
        <w:tc>
          <w:tcPr>
            <w:tcW w:w="3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Eighth Amendment to</w:t>
            </w:r>
          </w:p>
        </w:tc>
        <w:tc>
          <w:tcPr>
            <w:tcW w:w="0" w:type="dxa"/>
            <w:vAlign w:val="bottom"/>
          </w:tcPr>
          <w:p>
            <w:pPr>
              <w:spacing w:after="0"/>
              <w:rPr>
                <w:sz w:val="1"/>
                <w:szCs w:val="1"/>
                <w:color w:val="auto"/>
              </w:rPr>
            </w:pPr>
          </w:p>
        </w:tc>
      </w:tr>
      <w:tr>
        <w:trPr>
          <w:trHeight w:val="128"/>
        </w:trPr>
        <w:tc>
          <w:tcPr>
            <w:tcW w:w="1860" w:type="dxa"/>
            <w:vAlign w:val="bottom"/>
            <w:vMerge w:val="continue"/>
          </w:tcPr>
          <w:p>
            <w:pPr>
              <w:spacing w:after="0"/>
              <w:rPr>
                <w:sz w:val="11"/>
                <w:szCs w:val="11"/>
                <w:color w:val="auto"/>
              </w:rPr>
            </w:pPr>
          </w:p>
        </w:tc>
        <w:tc>
          <w:tcPr>
            <w:tcW w:w="38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Fifth A&amp;R RPA</w:t>
            </w:r>
          </w:p>
        </w:tc>
        <w:tc>
          <w:tcPr>
            <w:tcW w:w="0" w:type="dxa"/>
            <w:vAlign w:val="bottom"/>
          </w:tcPr>
          <w:p>
            <w:pPr>
              <w:spacing w:after="0"/>
              <w:rPr>
                <w:sz w:val="1"/>
                <w:szCs w:val="1"/>
                <w:color w:val="auto"/>
              </w:rPr>
            </w:pPr>
          </w:p>
        </w:tc>
      </w:tr>
      <w:tr>
        <w:trPr>
          <w:trHeight w:val="108"/>
        </w:trPr>
        <w:tc>
          <w:tcPr>
            <w:tcW w:w="1860" w:type="dxa"/>
            <w:vAlign w:val="bottom"/>
          </w:tcPr>
          <w:p>
            <w:pPr>
              <w:spacing w:after="0"/>
              <w:rPr>
                <w:sz w:val="9"/>
                <w:szCs w:val="9"/>
                <w:color w:val="auto"/>
              </w:rPr>
            </w:pPr>
          </w:p>
        </w:tc>
        <w:tc>
          <w:tcPr>
            <w:tcW w:w="3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0020"/>
          </w:cols>
          <w:pgMar w:left="1440" w:top="270" w:right="43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[Attached]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A-1</w:t>
      </w:r>
    </w:p>
    <w:p>
      <w:pPr>
        <w:sectPr>
          <w:pgSz w:w="11900" w:h="16838" w:orient="portrait"/>
          <w:cols w:equalWidth="0" w:num="1">
            <w:col w:w="9019"/>
          </w:cols>
          <w:pgMar w:left="1440" w:top="266" w:right="1440" w:bottom="1440" w:gutter="0" w:footer="0" w:header="0"/>
        </w:sectPr>
      </w:pPr>
    </w:p>
    <w:bookmarkStart w:id="154" w:name="page155"/>
    <w:bookmarkEnd w:id="154"/>
    <w:p>
      <w:pPr>
        <w:ind w:left="8060"/>
        <w:spacing w:after="0"/>
        <w:rPr>
          <w:sz w:val="20"/>
          <w:szCs w:val="20"/>
          <w:color w:val="auto"/>
        </w:rPr>
      </w:pPr>
      <w:r>
        <w:rPr>
          <w:rFonts w:ascii="Times New Roman" w:cs="Times New Roman" w:eastAsia="Times New Roman" w:hAnsi="Times New Roman"/>
          <w:sz w:val="18"/>
          <w:szCs w:val="18"/>
          <w:b w:val="1"/>
          <w:bCs w:val="1"/>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22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7"/>
          <w:szCs w:val="17"/>
          <w:b w:val="1"/>
          <w:bCs w:val="1"/>
          <w:color w:val="auto"/>
        </w:rPr>
        <w:t xml:space="preserve">EXHIBIT A TO AMENDMENT </w:t>
      </w:r>
      <w:r>
        <w:rPr>
          <w:rFonts w:ascii="Times New Roman" w:cs="Times New Roman" w:eastAsia="Times New Roman" w:hAnsi="Times New Roman"/>
          <w:sz w:val="17"/>
          <w:szCs w:val="17"/>
          <w:b w:val="1"/>
          <w:bCs w:val="1"/>
          <w:color w:val="FF0000"/>
          <w:strike w:val="1"/>
        </w:rPr>
        <w:t>7</w:t>
      </w:r>
      <w:r>
        <w:rPr>
          <w:rFonts w:ascii="Times New Roman" w:cs="Times New Roman" w:eastAsia="Times New Roman" w:hAnsi="Times New Roman"/>
          <w:sz w:val="17"/>
          <w:szCs w:val="17"/>
          <w:b w:val="1"/>
          <w:bCs w:val="1"/>
          <w:u w:val="single" w:color="auto"/>
          <w:color w:val="0000FF"/>
        </w:rPr>
        <w:t>8</w:t>
      </w:r>
      <w:r>
        <w:rPr>
          <w:rFonts w:ascii="Times New Roman" w:cs="Times New Roman" w:eastAsia="Times New Roman" w:hAnsi="Times New Roman"/>
          <w:sz w:val="17"/>
          <w:szCs w:val="17"/>
          <w:b w:val="1"/>
          <w:bCs w:val="1"/>
          <w:color w:val="auto"/>
        </w:rPr>
        <w:t xml:space="preserve">, DATED AS OF </w:t>
      </w:r>
      <w:r>
        <w:rPr>
          <w:rFonts w:ascii="Times New Roman" w:cs="Times New Roman" w:eastAsia="Times New Roman" w:hAnsi="Times New Roman"/>
          <w:sz w:val="17"/>
          <w:szCs w:val="17"/>
          <w:b w:val="1"/>
          <w:bCs w:val="1"/>
          <w:color w:val="FF0000"/>
          <w:strike w:val="1"/>
        </w:rPr>
        <w:t>April 26</w:t>
      </w:r>
      <w:r>
        <w:rPr>
          <w:rFonts w:ascii="Times New Roman" w:cs="Times New Roman" w:eastAsia="Times New Roman" w:hAnsi="Times New Roman"/>
          <w:sz w:val="17"/>
          <w:szCs w:val="17"/>
          <w:b w:val="1"/>
          <w:bCs w:val="1"/>
          <w:u w:val="single" w:color="auto"/>
          <w:color w:val="0000FF"/>
        </w:rPr>
        <w:t>MARCH 8</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color w:val="FF0000"/>
          <w:strike w:val="1"/>
        </w:rPr>
        <w:t>2023</w:t>
      </w:r>
      <w:r>
        <w:rPr>
          <w:rFonts w:ascii="Times New Roman" w:cs="Times New Roman" w:eastAsia="Times New Roman" w:hAnsi="Times New Roman"/>
          <w:sz w:val="17"/>
          <w:szCs w:val="17"/>
          <w:b w:val="1"/>
          <w:bCs w:val="1"/>
          <w:u w:val="single" w:color="auto"/>
          <w:color w:val="0000FF"/>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35560</wp:posOffset>
            </wp:positionV>
            <wp:extent cx="514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35560</wp:posOffset>
            </wp:positionV>
            <wp:extent cx="53149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3149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35560</wp:posOffset>
            </wp:positionV>
            <wp:extent cx="23114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31140" cy="8255"/>
                    </a:xfrm>
                    <a:prstGeom prst="rect">
                      <a:avLst/>
                    </a:prstGeom>
                    <a:noFill/>
                  </pic:spPr>
                </pic:pic>
              </a:graphicData>
            </a:graphic>
          </wp:anchor>
        </w:drawing>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FIFTH AMENDED AND RESTATED RECEIVABLES PURCHASE AGREEMENT</w:t>
      </w: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dated as of June 22, 2020</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WESCO RECEIVABLES CORP.,</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Seller,</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WESCO DISTRIBUTION, INC.,</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Servicer,</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THE VARIOUS PURCHASER GROUPS FROM TIME TO TIME PARTY HERETO</w:t>
      </w: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PNC BANK, NATIONAL ASSOCIATION,</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Administrator</w:t>
      </w:r>
    </w:p>
    <w:p>
      <w:pPr>
        <w:sectPr>
          <w:pgSz w:w="11900" w:h="16838" w:orient="portrait"/>
          <w:cols w:equalWidth="0" w:num="1">
            <w:col w:w="10020"/>
          </w:cols>
          <w:pgMar w:left="1440" w:top="266" w:right="439" w:bottom="1440" w:gutter="0" w:footer="0" w:header="0"/>
        </w:sectPr>
      </w:pPr>
    </w:p>
    <w:bookmarkStart w:id="155" w:name="page156"/>
    <w:bookmarkEnd w:id="15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2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AMOUNTS AND TERMS OF THE PURCHASES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w:t>
            </w:r>
          </w:p>
        </w:tc>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 Facility</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w:t>
            </w:r>
          </w:p>
        </w:tc>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Making Purchases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w:t>
            </w:r>
          </w:p>
        </w:tc>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Purchased Interest Computation</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1.4.</w:t>
            </w:r>
          </w:p>
        </w:tc>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Settlement Procedures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w:t>
            </w:r>
          </w:p>
        </w:tc>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Fees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1.6.</w:t>
            </w:r>
          </w:p>
        </w:tc>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Payments and Computations, Etc.</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1.7.</w:t>
            </w:r>
          </w:p>
        </w:tc>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Increased Costs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1.8.</w:t>
            </w:r>
          </w:p>
        </w:tc>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Requirements of Law</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1.9.</w:t>
            </w:r>
          </w:p>
        </w:tc>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[Reserved]</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w:t>
            </w:r>
          </w:p>
        </w:tc>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Extension of Termination Date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1.11.</w:t>
            </w:r>
          </w:p>
        </w:tc>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 in Commitments.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1.12.</w:t>
            </w:r>
          </w:p>
        </w:tc>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Discount Rates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REPRESENTATIONS AND WARRANTIES; COVENANTS; TERMINATION EVENTS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w:t>
            </w:r>
          </w:p>
        </w:tc>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Representations and Warranties; Covenants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w:t>
            </w:r>
          </w:p>
        </w:tc>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Termination Events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INDEMNIFICATION</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w:t>
            </w:r>
          </w:p>
        </w:tc>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Indemnities by the Seller</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w:t>
            </w:r>
          </w:p>
        </w:tc>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Indemnities by the Servicer</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ADMINISTRATION AND COLLECTIONS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w:t>
            </w:r>
          </w:p>
        </w:tc>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Appointment of the Servicer</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4.2.</w:t>
            </w:r>
          </w:p>
        </w:tc>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Duties of the Servicer</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4.3.</w:t>
            </w:r>
          </w:p>
        </w:tc>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Lock-Box Account Arrangements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4.4.</w:t>
            </w:r>
          </w:p>
        </w:tc>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Enforcement Rights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4.5.</w:t>
            </w:r>
          </w:p>
        </w:tc>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Responsibilities of the Seller</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4.6.</w:t>
            </w:r>
          </w:p>
        </w:tc>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Servicing Fee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4.7.</w:t>
            </w:r>
          </w:p>
        </w:tc>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[Reserved]</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4.8.</w:t>
            </w:r>
          </w:p>
        </w:tc>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Erroneous Payment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24"/>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THE AGENTS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w:t>
            </w:r>
          </w:p>
        </w:tc>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Appointment and Authorization</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w:t>
            </w:r>
          </w:p>
        </w:tc>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Delegation of Duties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5.3.</w:t>
            </w:r>
          </w:p>
        </w:tc>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Exculpatory Provisions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5.4.</w:t>
            </w:r>
          </w:p>
        </w:tc>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Reliance by Agents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5.5.</w:t>
            </w:r>
          </w:p>
        </w:tc>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[Reserved]</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65"/>
        </w:trPr>
        <w:tc>
          <w:tcPr>
            <w:tcW w:w="1620" w:type="dxa"/>
            <w:vAlign w:val="bottom"/>
          </w:tcPr>
          <w:p>
            <w:pPr>
              <w:spacing w:after="0"/>
              <w:rPr>
                <w:sz w:val="24"/>
                <w:szCs w:val="24"/>
                <w:color w:val="auto"/>
              </w:rPr>
            </w:pPr>
          </w:p>
        </w:tc>
        <w:tc>
          <w:tcPr>
            <w:tcW w:w="7460" w:type="dxa"/>
            <w:vAlign w:val="bottom"/>
          </w:tcPr>
          <w:p>
            <w:pPr>
              <w:ind w:left="3860"/>
              <w:spacing w:after="0"/>
              <w:rPr>
                <w:sz w:val="20"/>
                <w:szCs w:val="20"/>
                <w:color w:val="auto"/>
              </w:rPr>
            </w:pPr>
            <w:r>
              <w:rPr>
                <w:rFonts w:ascii="Times New Roman" w:cs="Times New Roman" w:eastAsia="Times New Roman" w:hAnsi="Times New Roman"/>
                <w:sz w:val="18"/>
                <w:szCs w:val="18"/>
                <w:color w:val="auto"/>
              </w:rPr>
              <w:t>i</w:t>
            </w:r>
          </w:p>
        </w:tc>
        <w:tc>
          <w:tcPr>
            <w:tcW w:w="1880" w:type="dxa"/>
            <w:vAlign w:val="bottom"/>
          </w:tcPr>
          <w:p>
            <w:pPr>
              <w:spacing w:after="0"/>
              <w:rPr>
                <w:sz w:val="24"/>
                <w:szCs w:val="24"/>
                <w:color w:val="auto"/>
              </w:rPr>
            </w:pPr>
          </w:p>
        </w:tc>
      </w:tr>
    </w:tbl>
    <w:p>
      <w:pPr>
        <w:sectPr>
          <w:pgSz w:w="11900" w:h="16838" w:orient="portrait"/>
          <w:cols w:equalWidth="0" w:num="1">
            <w:col w:w="10960"/>
          </w:cols>
          <w:pgMar w:left="440" w:top="266" w:right="499" w:bottom="1440" w:gutter="0" w:footer="0" w:header="0"/>
        </w:sectPr>
      </w:pPr>
    </w:p>
    <w:bookmarkStart w:id="156" w:name="page157"/>
    <w:bookmarkEnd w:id="15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(continued)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2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5.6.</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Notice of Termination Events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5.7.</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Non-Reliance on Administrator, Purchaser Agents and Other Purchasers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5.8.</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Administrators and Affiliates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5.9.</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Indemnification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5.10.</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Successor Administrator</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24"/>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MISCELLANEOUS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Amendments, Etc.</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6.2.</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Notices, Etc.</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6.3.</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Successors and Assigns; Participations; Assignments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6.4.</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Costs, Expenses and Taxes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6.5.</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 Proceedings; Limitation on Payments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6.6.</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GOVERNING LAW AND JURISDICTION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6.7.</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Execution in Counterparts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6.8.</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Survival of Termination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6.9.</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WAIVER OF JURY TRIAL</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6.10.</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Sharing of Recoveries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6.11.</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Right of Setoff</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6.12.</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Entire Agreement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6.13.</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Headings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6.14.</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Purchaser Groups’ Liabilities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6.15.</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Pledge to a Federal Reserve Bank</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6.16.</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Confidentiality</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6.17.</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Mutual Negotiations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6.18.</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Credit Agreement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6.19.</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USA Patriot Act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6.20.</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6.21.</w:t>
            </w: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65"/>
        </w:trPr>
        <w:tc>
          <w:tcPr>
            <w:tcW w:w="1620" w:type="dxa"/>
            <w:vAlign w:val="bottom"/>
          </w:tcPr>
          <w:p>
            <w:pPr>
              <w:spacing w:after="0"/>
              <w:rPr>
                <w:sz w:val="24"/>
                <w:szCs w:val="24"/>
                <w:color w:val="auto"/>
              </w:rPr>
            </w:pPr>
          </w:p>
        </w:tc>
        <w:tc>
          <w:tcPr>
            <w:tcW w:w="7420" w:type="dxa"/>
            <w:vAlign w:val="bottom"/>
          </w:tcPr>
          <w:p>
            <w:pPr>
              <w:ind w:left="3840"/>
              <w:spacing w:after="0"/>
              <w:rPr>
                <w:sz w:val="20"/>
                <w:szCs w:val="20"/>
                <w:color w:val="auto"/>
              </w:rPr>
            </w:pPr>
            <w:r>
              <w:rPr>
                <w:rFonts w:ascii="Times New Roman" w:cs="Times New Roman" w:eastAsia="Times New Roman" w:hAnsi="Times New Roman"/>
                <w:sz w:val="18"/>
                <w:szCs w:val="18"/>
                <w:color w:val="auto"/>
              </w:rPr>
              <w:t>ii</w:t>
            </w:r>
          </w:p>
        </w:tc>
        <w:tc>
          <w:tcPr>
            <w:tcW w:w="1920" w:type="dxa"/>
            <w:vAlign w:val="bottom"/>
          </w:tcPr>
          <w:p>
            <w:pPr>
              <w:spacing w:after="0"/>
              <w:rPr>
                <w:sz w:val="24"/>
                <w:szCs w:val="24"/>
                <w:color w:val="auto"/>
              </w:rPr>
            </w:pPr>
          </w:p>
        </w:tc>
      </w:tr>
    </w:tbl>
    <w:p>
      <w:pPr>
        <w:sectPr>
          <w:pgSz w:w="11900" w:h="16838" w:orient="portrait"/>
          <w:cols w:equalWidth="0" w:num="1">
            <w:col w:w="10960"/>
          </w:cols>
          <w:pgMar w:left="440" w:top="266" w:right="499" w:bottom="1440" w:gutter="0" w:footer="0" w:header="0"/>
        </w:sectPr>
      </w:pPr>
    </w:p>
    <w:bookmarkStart w:id="157" w:name="page158"/>
    <w:bookmarkEnd w:id="157"/>
    <w:p>
      <w:pPr>
        <w:jc w:val="center"/>
        <w:ind w:right="-98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43"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(continued)</w:t>
      </w:r>
    </w:p>
    <w:p>
      <w:pPr>
        <w:sectPr>
          <w:pgSz w:w="11900" w:h="16838" w:orient="portrait"/>
          <w:cols w:equalWidth="0" w:num="1">
            <w:col w:w="10019"/>
          </w:cols>
          <w:pgMar w:left="440" w:top="266" w:right="1440" w:bottom="1440" w:gutter="0" w:footer="0" w:header="0"/>
        </w:sectPr>
      </w:pP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III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IV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V</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Precedent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Representations and Warranties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Covenants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Events</w:t>
      </w:r>
    </w:p>
    <w:p>
      <w:pPr>
        <w:spacing w:after="0" w:line="99" w:lineRule="exact"/>
        <w:rPr>
          <w:sz w:val="20"/>
          <w:szCs w:val="20"/>
          <w:color w:val="auto"/>
        </w:rPr>
      </w:pPr>
    </w:p>
    <w:p>
      <w:pPr>
        <w:sectPr>
          <w:pgSz w:w="11900" w:h="16838" w:orient="portrait"/>
          <w:cols w:equalWidth="0" w:num="2">
            <w:col w:w="1820" w:space="720"/>
            <w:col w:w="7479"/>
          </w:cols>
          <w:pgMar w:left="440" w:top="266" w:right="1440" w:bottom="1440" w:gutter="0" w:footer="0" w:header="0"/>
          <w:type w:val="continuous"/>
        </w:sectPr>
      </w:pPr>
    </w:p>
    <w:p>
      <w:pPr>
        <w:ind w:right="520"/>
        <w:spacing w:after="0" w:line="253" w:lineRule="auto"/>
        <w:rPr>
          <w:sz w:val="20"/>
          <w:szCs w:val="20"/>
          <w:color w:val="auto"/>
        </w:rPr>
      </w:pPr>
      <w:r>
        <w:rPr>
          <w:rFonts w:ascii="Times New Roman" w:cs="Times New Roman" w:eastAsia="Times New Roman" w:hAnsi="Times New Roman"/>
          <w:sz w:val="18"/>
          <w:szCs w:val="18"/>
          <w:color w:val="auto"/>
        </w:rPr>
        <w:t>SCHEDULE I SCHEDULE II SCHEDULE III SCHEDULE IV SCHEDULE V SCHEDULE VI SCHEDULE VII SCHEDULE VIII SCHEDULE IX SCHEDULE X SCHEDULE XI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Credit and Collection Policy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Names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Anixter Filing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Scheduled Commitment Termination Date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UCC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Excluded Receivables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Memorandum</w:t>
      </w:r>
    </w:p>
    <w:p>
      <w:pPr>
        <w:spacing w:after="0" w:line="98" w:lineRule="exact"/>
        <w:rPr>
          <w:sz w:val="20"/>
          <w:szCs w:val="20"/>
          <w:color w:val="auto"/>
        </w:rPr>
      </w:pPr>
    </w:p>
    <w:p>
      <w:pPr>
        <w:sectPr>
          <w:pgSz w:w="11900" w:h="16838" w:orient="portrait"/>
          <w:cols w:equalWidth="0" w:num="2">
            <w:col w:w="1820" w:space="720"/>
            <w:col w:w="7479"/>
          </w:cols>
          <w:pgMar w:left="440" w:top="266"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ANNEX 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ANNEX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ANNEX 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ANNEX 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ANNEX 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Form of Information Package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Purchase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Daily Report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Form of Assumption Agreement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Transfer Supplement</w:t>
      </w:r>
    </w:p>
    <w:p>
      <w:pPr>
        <w:spacing w:after="0" w:line="139" w:lineRule="exact"/>
        <w:rPr>
          <w:sz w:val="20"/>
          <w:szCs w:val="20"/>
          <w:color w:val="auto"/>
        </w:rPr>
      </w:pPr>
    </w:p>
    <w:p>
      <w:pPr>
        <w:sectPr>
          <w:pgSz w:w="11900" w:h="16838" w:orient="portrait"/>
          <w:cols w:equalWidth="0" w:num="2">
            <w:col w:w="1820" w:space="720"/>
            <w:col w:w="7479"/>
          </w:cols>
          <w:pgMar w:left="440" w:top="266" w:right="1440" w:bottom="1440" w:gutter="0" w:footer="0" w:header="0"/>
          <w:type w:val="continuous"/>
        </w:sectPr>
      </w:pPr>
    </w:p>
    <w:p>
      <w:pPr>
        <w:ind w:left="5420"/>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019"/>
          </w:cols>
          <w:pgMar w:left="440" w:top="266" w:right="1440" w:bottom="1440" w:gutter="0" w:footer="0" w:header="0"/>
          <w:type w:val="continuous"/>
        </w:sectPr>
      </w:pPr>
    </w:p>
    <w:bookmarkStart w:id="158" w:name="page159"/>
    <w:bookmarkEnd w:id="158"/>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FIFTH AMENDED AND RESTATED RECEIVABLES PURCHASE AGREEMENT (as amended, supplemented or otherwise modified from time to time,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June 22, 2020, among WESCO RECEIVABLES CORP., a Delaware corporation, as seller (the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WESCO DISTRIBUTION, INC., a Delaware corporation (“</w:t>
      </w:r>
      <w:r>
        <w:rPr>
          <w:rFonts w:ascii="Times New Roman" w:cs="Times New Roman" w:eastAsia="Times New Roman" w:hAnsi="Times New Roman"/>
          <w:sz w:val="18"/>
          <w:szCs w:val="18"/>
          <w:u w:val="single" w:color="auto"/>
          <w:color w:val="auto"/>
        </w:rPr>
        <w:t>WESCO</w:t>
      </w:r>
      <w:r>
        <w:rPr>
          <w:rFonts w:ascii="Times New Roman" w:cs="Times New Roman" w:eastAsia="Times New Roman" w:hAnsi="Times New Roman"/>
          <w:sz w:val="18"/>
          <w:szCs w:val="18"/>
          <w:color w:val="auto"/>
        </w:rPr>
        <w:t>”), as initial servicer (in such capacity, together with its successors and permitted assigns in such capacity, the “</w:t>
      </w:r>
      <w:r>
        <w:rPr>
          <w:rFonts w:ascii="Times New Roman" w:cs="Times New Roman" w:eastAsia="Times New Roman" w:hAnsi="Times New Roman"/>
          <w:sz w:val="18"/>
          <w:szCs w:val="18"/>
          <w:u w:val="single" w:color="auto"/>
          <w:color w:val="auto"/>
        </w:rPr>
        <w:t>Servicer</w:t>
      </w:r>
      <w:r>
        <w:rPr>
          <w:rFonts w:ascii="Times New Roman" w:cs="Times New Roman" w:eastAsia="Times New Roman" w:hAnsi="Times New Roman"/>
          <w:sz w:val="18"/>
          <w:szCs w:val="18"/>
          <w:color w:val="auto"/>
        </w:rPr>
        <w:t>”), THE VARIOUS CONDUIT PURCHASERS, COMMITTED PURCHASERS AND PURCHASER AGENTS FROM TIME TO TIME PARTY HERETO, and PNC BANK, NATIONAL ASSOCIATION, as Administrator for each Purchaser Group (in such capacity, the “</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Concurrently herewith, the Seller, the Servicer and the Originators are entering into that certain Second Amended and Restated Purchase and Sale Agreement (as further amended, restated, amended and restated, supplemented or otherwise modified from time to time, the “</w:t>
      </w:r>
      <w:r>
        <w:rPr>
          <w:rFonts w:ascii="Times New Roman" w:cs="Times New Roman" w:eastAsia="Times New Roman" w:hAnsi="Times New Roman"/>
          <w:sz w:val="18"/>
          <w:szCs w:val="18"/>
          <w:u w:val="single" w:color="auto"/>
          <w:color w:val="auto"/>
        </w:rPr>
        <w:t>Purchase and 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the date hereof. The parties hereto hereby consent to such amendment and restatement.</w:t>
      </w:r>
    </w:p>
    <w:p>
      <w:pPr>
        <w:spacing w:after="0" w:line="176" w:lineRule="exact"/>
        <w:rPr>
          <w:sz w:val="20"/>
          <w:szCs w:val="20"/>
          <w:color w:val="auto"/>
        </w:rPr>
      </w:pPr>
    </w:p>
    <w:p>
      <w:pPr>
        <w:ind w:left="4" w:right="2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PRELIMINARY STATEMENTS. Certain terms that are capitalized and used throughout this Agreement are defined in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References in the Exhibits hereto to the “Agreement” refer to this Agreement, as amended, supplemented or otherwise modified from time to time.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In consideration of the mutual agreements, provisions and covenants contained herein, the parties hereto agree as follows:</w:t>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AMENDMENT AND RESTATEMENT; JOINDER OF PARTIES; REBALANCING</w:t>
      </w:r>
    </w:p>
    <w:p>
      <w:pPr>
        <w:spacing w:after="0" w:line="229" w:lineRule="exact"/>
        <w:rPr>
          <w:sz w:val="20"/>
          <w:szCs w:val="20"/>
          <w:color w:val="auto"/>
        </w:rPr>
      </w:pPr>
    </w:p>
    <w:p>
      <w:pPr>
        <w:ind w:left="4" w:right="100" w:firstLine="436"/>
        <w:spacing w:after="0" w:line="253" w:lineRule="auto"/>
        <w:tabs>
          <w:tab w:leader="none" w:pos="689"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Restatement</w:t>
      </w:r>
      <w:r>
        <w:rPr>
          <w:rFonts w:ascii="Times New Roman" w:cs="Times New Roman" w:eastAsia="Times New Roman" w:hAnsi="Times New Roman"/>
          <w:sz w:val="18"/>
          <w:szCs w:val="18"/>
          <w:color w:val="auto"/>
        </w:rPr>
        <w:t>. This Agreement amends and restates in its entirety, as of the Closing Date, the Fourth Amended and Restated Receivables Purchase Agreement, dated as of September 24, 2015 (as amended, restated, supplemented or otherwise modified prior to the date hereof, the “</w:t>
      </w:r>
      <w:r>
        <w:rPr>
          <w:rFonts w:ascii="Times New Roman" w:cs="Times New Roman" w:eastAsia="Times New Roman" w:hAnsi="Times New Roman"/>
          <w:sz w:val="18"/>
          <w:szCs w:val="18"/>
          <w:u w:val="single" w:color="auto"/>
          <w:color w:val="auto"/>
        </w:rPr>
        <w:t>Original Agreement</w:t>
      </w:r>
      <w:r>
        <w:rPr>
          <w:rFonts w:ascii="Times New Roman" w:cs="Times New Roman" w:eastAsia="Times New Roman" w:hAnsi="Times New Roman"/>
          <w:sz w:val="18"/>
          <w:szCs w:val="18"/>
          <w:color w:val="auto"/>
        </w:rPr>
        <w:t>”), among the Seller, the Servicer, the various Conduit Purchasers, Committed Purchasers and Purchaser Agents from time to time party thereto and the Administrator. Notwithstanding the amendment and restatement of the Original Agreement by this Agreement, (i) the Seller and Servicer shall continue to be liable to each of the parties to the Original Agreement or any other Indemnified Party or Affected Person (as such terms are defined in the Original Agreement) for fees and expenses which are accrued and unpaid under the Original Agreement on the date hereof and all agreements to indemnify such parties in connection with events or conditions arising or existing prior to the effective date of this Agreement, (ii) the security interest created under the Original Agreement in favor of the Administrator shall remain in full force and effect under this Agreement and</w:t>
      </w:r>
    </w:p>
    <w:p>
      <w:pPr>
        <w:ind w:left="4" w:right="100" w:hanging="4"/>
        <w:spacing w:after="0" w:line="253" w:lineRule="auto"/>
        <w:tabs>
          <w:tab w:leader="none" w:pos="319"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Investment and Discount outstanding or owing under the Original Agreement shall be and constitute Investment and Discount outstanding or owing under this Agreement. Upon the effectiveness of this Agreement, each reference to the Original Agreement in any other document, instrument or agreement shall mean and be a reference to this Agreement. Nothing contained herein, unless expressly herein stated to the contrary, is intended to amend, modify or otherwise affect any other instrument, document or agreement executed and/or delivered in connection with the Original Agreement.</w:t>
      </w:r>
    </w:p>
    <w:p>
      <w:pPr>
        <w:spacing w:after="0" w:line="80" w:lineRule="exact"/>
        <w:rPr>
          <w:rFonts w:ascii="Times New Roman" w:cs="Times New Roman" w:eastAsia="Times New Roman" w:hAnsi="Times New Roman"/>
          <w:sz w:val="18"/>
          <w:szCs w:val="18"/>
          <w:color w:val="auto"/>
        </w:rPr>
      </w:pPr>
    </w:p>
    <w:p>
      <w:pPr>
        <w:ind w:left="4" w:firstLine="436"/>
        <w:spacing w:after="0" w:line="282" w:lineRule="auto"/>
        <w:tabs>
          <w:tab w:leader="none" w:pos="699"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Joinder of Parties</w:t>
      </w:r>
      <w:r>
        <w:rPr>
          <w:rFonts w:ascii="Times New Roman" w:cs="Times New Roman" w:eastAsia="Times New Roman" w:hAnsi="Times New Roman"/>
          <w:sz w:val="18"/>
          <w:szCs w:val="18"/>
          <w:color w:val="auto"/>
        </w:rPr>
        <w:t>. Effective as of the date hereof, (i) each of Canadian Imperial Bank of Commerce, New York Branch, Bank of America, N.A. and HSBC Bank USA, N.A.</w:t>
      </w:r>
    </w:p>
    <w:p>
      <w:pPr>
        <w:sectPr>
          <w:pgSz w:w="11900" w:h="16838" w:orient="portrait"/>
          <w:cols w:equalWidth="0" w:num="1">
            <w:col w:w="11024"/>
          </w:cols>
          <w:pgMar w:left="436" w:top="270" w:right="439" w:bottom="1440" w:gutter="0" w:footer="0" w:header="0"/>
        </w:sectPr>
      </w:pPr>
    </w:p>
    <w:bookmarkStart w:id="159" w:name="page160"/>
    <w:bookmarkEnd w:id="159"/>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hereby becomes a party to this Agreement as a Committed Purchaser hereunder with all the rights, interests, duties and obligations of a Committed Purchaser hereunder, (ii) Canadian Imperial Bank of Commerce, New York Branch, as a Committed Purchaser, shall constitute the sole member of a new Purchaser Group, which does not initially include a Conduit Purchaser, and Canadian Imperial Bank of Commerce, New York Branch, hereby appoints itself as the Purchaser Agent for such Purchaser Group, (iii) Bank of America, N.A., as a Committed Purchaser, shall constitute the sole member of a new Purchaser Group, which does not initially include a Conduit Purchaser, and Bank of America, N.A. hereby appoints itself as the Purchaser Agent for such Purchaser Group, (iv) HSBC Bank USA, N.A., as a Committed Purchaser, shall constitute a new Purchaser Group and HSBC Bank USA, N.A. hereby appoints HSBC Securities USA Inc. as the Purchaser Agent for such Purchaser Group and (v) each of Canadian Imperial Bank of Commerce, Bank of America, N.A. and HSBC Securities USA, Inc. hereby becomes a party to this Agreement as a Purchaser Agent hereunder with all the rights, interests, duties and obligations of a Purchaser Agent hereunder.</w:t>
      </w:r>
    </w:p>
    <w:p>
      <w:pPr>
        <w:spacing w:after="0" w:line="80" w:lineRule="exact"/>
        <w:rPr>
          <w:sz w:val="20"/>
          <w:szCs w:val="20"/>
          <w:color w:val="auto"/>
        </w:rPr>
      </w:pPr>
    </w:p>
    <w:p>
      <w:pPr>
        <w:jc w:val="both"/>
        <w:ind w:firstLine="436"/>
        <w:spacing w:after="0" w:line="261" w:lineRule="auto"/>
        <w:tabs>
          <w:tab w:leader="none" w:pos="68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Initial Purchases; Rebalancing</w:t>
      </w:r>
      <w:r>
        <w:rPr>
          <w:rFonts w:ascii="Times New Roman" w:cs="Times New Roman" w:eastAsia="Times New Roman" w:hAnsi="Times New Roman"/>
          <w:sz w:val="18"/>
          <w:szCs w:val="18"/>
          <w:color w:val="auto"/>
        </w:rPr>
        <w:t xml:space="preserve">. Concurrently herewith, the Seller is requesting that the Purchasers fund a new Purchase on the Closing Date pursuant to a Purchase Notice delivered in accordance with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Such Purchase Notice provides that each Purchaser Group will fund a non-ratable portion of the aggregate Purchase such that, after giving effect to such Purchase, each Purchaser Group’s outstanding Investment will be equal to its Ratable Share of the Aggregate Investment.</w:t>
      </w:r>
    </w:p>
    <w:p>
      <w:pPr>
        <w:spacing w:after="0" w:line="71" w:lineRule="exact"/>
        <w:rPr>
          <w:rFonts w:ascii="Times New Roman" w:cs="Times New Roman" w:eastAsia="Times New Roman" w:hAnsi="Times New Roman"/>
          <w:sz w:val="18"/>
          <w:szCs w:val="18"/>
          <w:color w:val="auto"/>
        </w:rPr>
      </w:pPr>
    </w:p>
    <w:p>
      <w:pPr>
        <w:ind w:right="220" w:firstLine="436"/>
        <w:spacing w:after="0" w:line="266" w:lineRule="auto"/>
        <w:tabs>
          <w:tab w:leader="none" w:pos="69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Consents</w:t>
      </w:r>
      <w:r>
        <w:rPr>
          <w:rFonts w:ascii="Times New Roman" w:cs="Times New Roman" w:eastAsia="Times New Roman" w:hAnsi="Times New Roman"/>
          <w:sz w:val="18"/>
          <w:szCs w:val="18"/>
          <w:color w:val="auto"/>
        </w:rPr>
        <w:t xml:space="preserve">. The parties hereto hereby consent to the joinder of Canadian Imperial Bank of Commerce, New York Branch, Bank of America, N.A., HSBC Bank USA, N.A. and HSBC Securities USA Inc. as parties hereto on the terms set forth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to the non-ratable funding of the foregoing initial Purchase on the terms set forth in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above, in each case, as set forth above on a one-time basis.</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AMOUNTS AND TERMS OF THE PURCHASES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Purchase Facility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987"/>
        <w:spacing w:after="0" w:line="254" w:lineRule="auto"/>
        <w:tabs>
          <w:tab w:leader="none" w:pos="123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terms and subject to the conditions hereof, the Seller may, from time to time before each applicable Facility Termination Date, request that the Purchasers ratably (based on the Ratable Share in their respective Purchaser Groups) make investments with regard to the Purchased Interest from the Seller from time to time from the date hereof to each applicable Facility Termination Date in accordance with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Each purchase requested by the Seller pursuant to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Purchase</w:t>
      </w:r>
      <w:r>
        <w:rPr>
          <w:rFonts w:ascii="Times New Roman" w:cs="Times New Roman" w:eastAsia="Times New Roman" w:hAnsi="Times New Roman"/>
          <w:sz w:val="18"/>
          <w:szCs w:val="18"/>
          <w:color w:val="auto"/>
        </w:rPr>
        <w:t xml:space="preserve">”) shall be made ratably by the Purchasers (based on the Ratable Share in their respective Purchaser Groups), and each Purchaser Group’s Ratable Share of each Purchase shall be made and funded (i) if such Purchaser Group contains a Conduit Purchaser and such Conduit Purchaser elects (in its sole discretion) to make and fund such portion of such Purchase, by the Conduit Purchaser in such Purchaser Group or (ii) if such Purchaser Group does not contain a Conduit Purchaser or if the Conduit Purchaser in such Purchaser Group declines (in its sole discretion) to make or fund such portion of such Purchase, by the Committed Purchaser in such Purchaser Group. Subject to </w:t>
      </w:r>
      <w:r>
        <w:rPr>
          <w:rFonts w:ascii="Times New Roman" w:cs="Times New Roman" w:eastAsia="Times New Roman" w:hAnsi="Times New Roman"/>
          <w:sz w:val="18"/>
          <w:szCs w:val="18"/>
          <w:u w:val="single" w:color="auto"/>
          <w:color w:val="auto"/>
        </w:rPr>
        <w:t>Section 1.4(b)</w:t>
      </w:r>
      <w:r>
        <w:rPr>
          <w:rFonts w:ascii="Times New Roman" w:cs="Times New Roman" w:eastAsia="Times New Roman" w:hAnsi="Times New Roman"/>
          <w:sz w:val="18"/>
          <w:szCs w:val="18"/>
          <w:color w:val="auto"/>
        </w:rPr>
        <w:t xml:space="preserve"> concerning reinvestments, at no time will any Conduit Purchaser have any</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70" w:right="499" w:bottom="1440" w:gutter="0" w:footer="0" w:header="0"/>
        </w:sectPr>
      </w:pPr>
    </w:p>
    <w:bookmarkStart w:id="160" w:name="page161"/>
    <w:bookmarkEnd w:id="160"/>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obligation to make any Purchase or reinvestment. Each Committed Purchaser severally hereby agrees, on the terms and subject to the conditions hereof, to make Purchases before its applicable Facility Termination Date that are requested pursuant to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xml:space="preserve">, based on the Ratable Share of its applicable Purchaser Group;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under no circumstances shall any Purchaser make any Purchase or reinvestment hereunder if, after giving effect to such Purchase or reinvestment (i) the Group Investment of such Purchaser’s Purchaser Group would exceed the Group Commitment of such Purchaser’s Purchaser Group, (ii) the Aggregate Investment would (after giving effect to all Purchases and reinvestments on such date) exceed the Purchase Limit or (iii) the Purchased Interest would exceed 100%.</w:t>
      </w:r>
    </w:p>
    <w:p>
      <w:pPr>
        <w:spacing w:after="0" w:line="79" w:lineRule="exact"/>
        <w:rPr>
          <w:sz w:val="20"/>
          <w:szCs w:val="20"/>
          <w:color w:val="auto"/>
        </w:rPr>
      </w:pPr>
    </w:p>
    <w:p>
      <w:pPr>
        <w:ind w:firstLine="987"/>
        <w:spacing w:after="0" w:line="256" w:lineRule="auto"/>
        <w:tabs>
          <w:tab w:leader="none" w:pos="124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may, upon at least thirty (30) days’ (or such shorter period as agreed to in writing by the Administrator) written notice to the Administrator and each Purchaser Agent, reduce the unfunded portion of the Purchase Limit in whole or in part (but not below the amount which would cause the Group Investment of any Purchaser Group to exceed its Group Commitment (after giving effect to such reduction)); provided that each partial reduction shall be in the amount of at least $5,000,000, or an integral multiple of $1,000,000 in excess thereof and unless terminated in whole, the Purchase Limit shall in no event be reduced below $150,000,000. Such reduction shall at the option of the Seller be applied either (i) ratably to reduce the Group Commitment of each Purchaser Group or (ii) to terminate the Group Commitment of any one Purchaser Group.</w:t>
      </w:r>
    </w:p>
    <w:p>
      <w:pPr>
        <w:spacing w:after="0" w:line="79" w:lineRule="exact"/>
        <w:rPr>
          <w:rFonts w:ascii="Times New Roman" w:cs="Times New Roman" w:eastAsia="Times New Roman" w:hAnsi="Times New Roman"/>
          <w:sz w:val="18"/>
          <w:szCs w:val="18"/>
          <w:color w:val="auto"/>
        </w:rPr>
      </w:pPr>
    </w:p>
    <w:p>
      <w:pPr>
        <w:ind w:right="40" w:firstLine="987"/>
        <w:spacing w:after="0" w:line="255" w:lineRule="auto"/>
        <w:tabs>
          <w:tab w:leader="none" w:pos="123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may, upon at least thirty (30) days’ (or such shorter period as agreed to in writing by the Administrator) prior written notice to the Administrator and each Purchaser Agent, repay in whole (but not in part) the entire Aggregate Investment (and all accrued and unpaid Discount thereon) by making a cash payment of such amount to the Administrator for the benefit of the Purchasers. Such payments shall be made to the Administrator for the ratable benefit of the Purchasers (ratably based on the Investments outstanding at such time) and the Investment (and accrued and unpaid Discount) of each Purchaser shall only be deemed to be reduced by such payment when such payment is finally so paid to such Purchaser in full in cash. All payments as repayments made pursuant to this paragraph shall be subject to any applicable Termination Fee payable to any Purchaser at such time in connection therewith.</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Making Purchases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5" w:lineRule="auto"/>
        <w:tabs>
          <w:tab w:leader="none" w:pos="123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 (but not reinvestment) of undivided percentage ownership interests with regard to the Purchased Interest hereunder may be made on any Business Day upon the Seller’s irrevocable written notice in the form of Annex B (each, a “</w:t>
      </w:r>
      <w:r>
        <w:rPr>
          <w:rFonts w:ascii="Times New Roman" w:cs="Times New Roman" w:eastAsia="Times New Roman" w:hAnsi="Times New Roman"/>
          <w:sz w:val="18"/>
          <w:szCs w:val="18"/>
          <w:u w:val="single" w:color="auto"/>
          <w:color w:val="auto"/>
        </w:rPr>
        <w:t>Purchase Notice</w:t>
      </w:r>
      <w:r>
        <w:rPr>
          <w:rFonts w:ascii="Times New Roman" w:cs="Times New Roman" w:eastAsia="Times New Roman" w:hAnsi="Times New Roman"/>
          <w:sz w:val="18"/>
          <w:szCs w:val="18"/>
          <w:color w:val="auto"/>
        </w:rPr>
        <w:t xml:space="preserve">”) delivered to the Administrator and each Purchaser Agent in accordance with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(which notice must be received by the Administrator and each Purchaser Agent before 11:00 a.m., New York City time) at least two Business Days before the requested Purchase Date, which notice shall specify: (A) the date of such Purchase (which shall be a Business Day), (B) the aggregate amount requested to be paid to the Seller (such aggregate amount, which shall not be less than $500,000 or such lesser amount as agreed to by the Administrator and the Majority Purchasers) and (C) the pro forma calculation of the Purchased Interest after giving effect to the increase in the Aggregate Investment.</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70" w:right="499" w:bottom="1440" w:gutter="0" w:footer="0" w:header="0"/>
        </w:sectPr>
      </w:pPr>
    </w:p>
    <w:bookmarkStart w:id="161" w:name="page162"/>
    <w:bookmarkEnd w:id="161"/>
    <w:p>
      <w:pPr>
        <w:ind w:left="1220" w:hanging="253"/>
        <w:spacing w:after="0"/>
        <w:tabs>
          <w:tab w:leader="none" w:pos="1220" w:val="left"/>
        </w:tabs>
        <w:numPr>
          <w:ilvl w:val="2"/>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Funding Purchases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420" w:right="120" w:firstLine="419"/>
        <w:spacing w:after="0" w:line="255" w:lineRule="auto"/>
        <w:tabs>
          <w:tab w:leader="none" w:pos="1058"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later than 1:00 p.m. (New York City time) on the date of each Purchase of undivided percentage ownership interests with regard to the Purchased Interest hereunder, each applicable Purchaser shall, upon satisfaction of the applicable conditions set forth in </w:t>
      </w:r>
      <w:r>
        <w:rPr>
          <w:rFonts w:ascii="Times New Roman" w:cs="Times New Roman" w:eastAsia="Times New Roman" w:hAnsi="Times New Roman"/>
          <w:sz w:val="18"/>
          <w:szCs w:val="18"/>
          <w:u w:val="single" w:color="auto"/>
          <w:color w:val="auto"/>
        </w:rPr>
        <w:t>Exhibit II</w:t>
      </w:r>
      <w:r>
        <w:rPr>
          <w:rFonts w:ascii="Times New Roman" w:cs="Times New Roman" w:eastAsia="Times New Roman" w:hAnsi="Times New Roman"/>
          <w:sz w:val="18"/>
          <w:szCs w:val="18"/>
          <w:color w:val="auto"/>
        </w:rPr>
        <w:t>, deliver to the Administrator by wire transfer of immediately available funds at the account from time to time designated in writing by the Administrator, an amount equal to the portion of Investment relating to the undivided percentage ownership interest then being funded by such Purchaser. On the date of each Purchase, the Administrator will make available to the Seller, in same day funds at the account from time to time designated in writing by the Seller to the Administrator, the amount of Investment to be funded in accordance with this Agreement by all Purchasers in respect of such Purchase.</w:t>
      </w:r>
    </w:p>
    <w:p>
      <w:pPr>
        <w:spacing w:after="0" w:line="80" w:lineRule="exact"/>
        <w:rPr>
          <w:rFonts w:ascii="Times New Roman" w:cs="Times New Roman" w:eastAsia="Times New Roman" w:hAnsi="Times New Roman"/>
          <w:sz w:val="18"/>
          <w:szCs w:val="18"/>
          <w:color w:val="auto"/>
        </w:rPr>
      </w:pPr>
    </w:p>
    <w:p>
      <w:pPr>
        <w:ind w:left="420" w:right="40" w:firstLine="419"/>
        <w:spacing w:after="0" w:line="268" w:lineRule="auto"/>
        <w:tabs>
          <w:tab w:leader="none" w:pos="1108" w:val="left"/>
        </w:tabs>
        <w:numPr>
          <w:ilvl w:val="1"/>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Unless the Administrator shall have received notice from a Purchaser or Purchaser Agent prior to the proposed Purchase Date of any Purchase that such Purchaser’s or Purchaser Agent’s Purchaser Group will not make available to the Administrator such Purchaser Group’s share of such Purchase, the Administrator may assume that such Purchaser Group has made such share available on such date in accordance with the foregoing </w:t>
      </w:r>
      <w:r>
        <w:rPr>
          <w:rFonts w:ascii="Times New Roman" w:cs="Times New Roman" w:eastAsia="Times New Roman" w:hAnsi="Times New Roman"/>
          <w:sz w:val="17"/>
          <w:szCs w:val="17"/>
          <w:u w:val="single" w:color="auto"/>
          <w:color w:val="auto"/>
        </w:rPr>
        <w:t>clause (b)(i)</w:t>
      </w:r>
      <w:r>
        <w:rPr>
          <w:rFonts w:ascii="Times New Roman" w:cs="Times New Roman" w:eastAsia="Times New Roman" w:hAnsi="Times New Roman"/>
          <w:sz w:val="17"/>
          <w:szCs w:val="17"/>
          <w:color w:val="auto"/>
        </w:rPr>
        <w:t xml:space="preserve"> and may, in reliance upon such assumption, make available to the Seller a corresponding amount. In such event, if a Purchaser Group has not in fact made its share of the applicable Purchase available to the Administrator, then the Committed Purchaser in such Purchaser Group and the Seller severally agree to pay to the Administrator forthwith on demand such corresponding amount with interest thereon, for each day from and including the date such amount is made available to the Seller to but excluding the date of payment to the Administrator, at</w:t>
      </w:r>
    </w:p>
    <w:p>
      <w:pPr>
        <w:spacing w:after="0" w:line="2" w:lineRule="exact"/>
        <w:rPr>
          <w:rFonts w:ascii="Times New Roman" w:cs="Times New Roman" w:eastAsia="Times New Roman" w:hAnsi="Times New Roman"/>
          <w:sz w:val="17"/>
          <w:szCs w:val="17"/>
          <w:color w:val="auto"/>
        </w:rPr>
      </w:pPr>
    </w:p>
    <w:p>
      <w:pPr>
        <w:ind w:left="420" w:right="160" w:hanging="4"/>
        <w:spacing w:after="0" w:line="270" w:lineRule="auto"/>
        <w:tabs>
          <w:tab w:leader="none" w:pos="635"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such Committed Purchaser, the greater of the Overnight Bank Funding Rate and a rate determined by the Administrator in accordance with banking industry rules on interbank compensation or (ii) in the case of the Seller, the Base Rate. If such Committed Purchaser pays such amount to the Administrator, then such amount shall constitute such Committed Purchaser’s Investment included in such Purchase. If the Seller and such Committed Purchaser shall pay such interest to the Administrator for the same or an overlapping period, the Administrator shall promptly remit to the Seller the amount of such interest paid by the Seller for such period. Any such payment by the Seller shall be without prejudice to any claim the Seller may have against a Committed Purchaser that shall have failed to make such payment to the Administrator.</w:t>
      </w:r>
    </w:p>
    <w:p>
      <w:pPr>
        <w:spacing w:after="0" w:line="66" w:lineRule="exact"/>
        <w:rPr>
          <w:rFonts w:ascii="Times New Roman" w:cs="Times New Roman" w:eastAsia="Times New Roman" w:hAnsi="Times New Roman"/>
          <w:sz w:val="17"/>
          <w:szCs w:val="17"/>
          <w:color w:val="auto"/>
        </w:rPr>
      </w:pPr>
    </w:p>
    <w:p>
      <w:pPr>
        <w:ind w:left="-20" w:firstLine="987"/>
        <w:spacing w:after="0" w:line="261" w:lineRule="auto"/>
        <w:tabs>
          <w:tab w:leader="none" w:pos="1216" w:val="left"/>
        </w:tabs>
        <w:numPr>
          <w:ilvl w:val="2"/>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Effective on the date of each Purchase pursuant to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and each reinvestment pursuant to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the Seller hereby sells and assigns to the Administrator for the benefit of the Purchasers (ratably, according to each such Purchaser’s Investment) an undivided percentage ownership interest in: (i) each Pool Receivable then existing, (ii) all Related Security with respect to such Pool Receivables, and (iii) all Collections with respect to, and other proceeds of, such Pool Receivables and Related Security.</w:t>
      </w:r>
    </w:p>
    <w:p>
      <w:pPr>
        <w:spacing w:after="0" w:line="71" w:lineRule="exact"/>
        <w:rPr>
          <w:rFonts w:ascii="Times New Roman" w:cs="Times New Roman" w:eastAsia="Times New Roman" w:hAnsi="Times New Roman"/>
          <w:sz w:val="18"/>
          <w:szCs w:val="18"/>
          <w:color w:val="auto"/>
        </w:rPr>
      </w:pPr>
    </w:p>
    <w:p>
      <w:pPr>
        <w:ind w:left="-20" w:firstLine="987"/>
        <w:spacing w:after="0" w:line="282" w:lineRule="auto"/>
        <w:tabs>
          <w:tab w:leader="none" w:pos="1226" w:val="left"/>
        </w:tabs>
        <w:numPr>
          <w:ilvl w:val="2"/>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all of the Seller’s obligations (monetary or otherwise) under this Agreement and the other Transaction Documents to which it is a party, whether now or hereafter existing or arising, due or to become due, direct or indirect, absolute or contingent, the Seller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60" w:top="268" w:right="459" w:bottom="1440" w:gutter="0" w:footer="0" w:header="0"/>
        </w:sectPr>
      </w:pPr>
    </w:p>
    <w:bookmarkStart w:id="162" w:name="page163"/>
    <w:bookmarkEnd w:id="16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hereby grants to the Administrator, for the benefit of the Purchasers, a security interest in all of the Seller’s right, title and interest (including any undivided interest of the Seller) in, to and under all of the following, whether now or hereafter owned, existing or arising: (i) all Pool Receivables, (ii) all Related Security with respect to such Pool Receivables, (iii) all Collections with respect to such Pool Receivables, (iv) the Lock-Box Accounts and all amounts on deposit therein, and all certificates and instruments, if any, from time to time evidencing such Lock-Box Accounts and amounts on deposit therein, (v) all rights (but none of the obligations) of the Seller under the Sale Agreement and (vi) all proceeds of, and all amounts received or receivable under any or all of, the foregoing (collectively, the “</w:t>
      </w:r>
      <w:r>
        <w:rPr>
          <w:rFonts w:ascii="Times New Roman" w:cs="Times New Roman" w:eastAsia="Times New Roman" w:hAnsi="Times New Roman"/>
          <w:sz w:val="18"/>
          <w:szCs w:val="18"/>
          <w:u w:val="single" w:color="auto"/>
          <w:color w:val="auto"/>
        </w:rPr>
        <w:t>Pool Assets</w:t>
      </w:r>
      <w:r>
        <w:rPr>
          <w:rFonts w:ascii="Times New Roman" w:cs="Times New Roman" w:eastAsia="Times New Roman" w:hAnsi="Times New Roman"/>
          <w:sz w:val="18"/>
          <w:szCs w:val="18"/>
          <w:color w:val="auto"/>
        </w:rPr>
        <w:t>”). The Administrator, for the benefit of the Purchasers, shall have, with respect to the Pool Assets, and in addition to all the other rights and remedies available to the Administrator and the Purchasers, all the rights and remedies of a secured party under any applicable UCC. The Seller hereby authorizes the Administrator (for the benefit of the Purchasers) to file financing statements in each jurisdiction the Administrator deems necessary and appropriate to perfect its security interest in the Pool Assets, describing the collateral covered thereby as “all of the debtor’s personal property or assets” or words to that effect, notwithstanding that such wording may be broader in scope than the collateral described in this Agreement.</w:t>
      </w:r>
    </w:p>
    <w:p>
      <w:pPr>
        <w:spacing w:after="0" w:line="84" w:lineRule="exact"/>
        <w:rPr>
          <w:sz w:val="20"/>
          <w:szCs w:val="20"/>
          <w:color w:val="auto"/>
        </w:rPr>
      </w:pPr>
    </w:p>
    <w:p>
      <w:pPr>
        <w:ind w:right="60" w:firstLine="987"/>
        <w:spacing w:after="0" w:line="254" w:lineRule="auto"/>
        <w:tabs>
          <w:tab w:leader="none" w:pos="123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with respect to the increases in Commitments contemplated by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the Seller may, with the written consent of the Administrator and each Purchaser, add additional Persons as Purchasers (either to an existing Purchaser Group or by creating new Purchaser Groups) or cause an existing Purchaser to increase its Commitment in connection with a corresponding increase in the Purchase Limit;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Commitment of any Purchaser may only be increased with the consent of such Purchaser, such consent to be in such Purchaser’s sole and absolute discretion. Each new Purchaser (or Purchaser Group) and each Purchaser increasing its Commitment shall become a party hereto or increase its Commitment, as the case may be, by executing and delivering to the Administrator and the Seller an Assumption Agreement in the form of Annex D hereto (which Assumption Agreement shall, in the case of any new Purchaser or Purchasers be executed by each Person in such new Purchaser’s Purchaser Group).</w:t>
      </w:r>
    </w:p>
    <w:p>
      <w:pPr>
        <w:spacing w:after="0" w:line="83" w:lineRule="exact"/>
        <w:rPr>
          <w:rFonts w:ascii="Times New Roman" w:cs="Times New Roman" w:eastAsia="Times New Roman" w:hAnsi="Times New Roman"/>
          <w:sz w:val="18"/>
          <w:szCs w:val="18"/>
          <w:color w:val="auto"/>
        </w:rPr>
      </w:pPr>
    </w:p>
    <w:p>
      <w:pPr>
        <w:ind w:firstLine="987"/>
        <w:spacing w:after="0" w:line="253" w:lineRule="auto"/>
        <w:tabs>
          <w:tab w:leader="none" w:pos="121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Committed Purchaser’s obligation hereunder shall be several, such that the failure of any Committed Purchaser to make a payment in connection with any Purchase hereunder shall not relieve any other Committed Purchaser of its obligation hereunder to make payment for any Purchase. Further, in the event any Committed Purchaser fails to satisfy its obligation to make a Purchase as required hereunder, upon receipt of notice of such failure from the Administrator (or any relevant Purchaser Agent), subject to the limitations set forth herein, the non-defaulting Committed Purchasers in such defaulting Committed Purchaser’s Purchaser Group shall purchase the defaulting Committed Purchaser’s Commitment Percentage of the related Purchase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in proportion to their relative Commitment Percentages (determined without regard to the Commitment Percentage of the defaulting Committed Purchaser; </w:t>
      </w:r>
      <w:r>
        <w:rPr>
          <w:rFonts w:ascii="Times New Roman" w:cs="Times New Roman" w:eastAsia="Times New Roman" w:hAnsi="Times New Roman"/>
          <w:sz w:val="18"/>
          <w:szCs w:val="18"/>
          <w:u w:val="single" w:color="auto"/>
          <w:color w:val="auto"/>
        </w:rPr>
        <w:t>it being understood</w:t>
      </w:r>
      <w:r>
        <w:rPr>
          <w:rFonts w:ascii="Times New Roman" w:cs="Times New Roman" w:eastAsia="Times New Roman" w:hAnsi="Times New Roman"/>
          <w:sz w:val="18"/>
          <w:szCs w:val="18"/>
          <w:color w:val="auto"/>
        </w:rPr>
        <w:t xml:space="preserve"> that a defaulting Committed Purchaser’s Commitment Percentage of any Purchase shall be first put to the Committed Purchasers in such defaulting Committed Purchaser’s Purchaser Group and thereafter if there are no other Committed Purchasers in such Purchaser Group or if such other Committed Purchasers are also defaulting Committed Purchasers, then such defaulting Committed Purchaser’s Commitment Percentage of such Purchase shall be put to each other Purchaser Group ratably and applied in accordance with this </w:t>
      </w:r>
      <w:r>
        <w:rPr>
          <w:rFonts w:ascii="Times New Roman" w:cs="Times New Roman" w:eastAsia="Times New Roman" w:hAnsi="Times New Roman"/>
          <w:sz w:val="18"/>
          <w:szCs w:val="18"/>
          <w:u w:val="single" w:color="auto"/>
          <w:color w:val="auto"/>
        </w:rPr>
        <w:t>paragraph (f)</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63" w:name="page164"/>
    <w:bookmarkEnd w:id="163"/>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in this </w:t>
      </w:r>
      <w:r>
        <w:rPr>
          <w:rFonts w:ascii="Times New Roman" w:cs="Times New Roman" w:eastAsia="Times New Roman" w:hAnsi="Times New Roman"/>
          <w:sz w:val="18"/>
          <w:szCs w:val="18"/>
          <w:u w:val="single" w:color="auto"/>
          <w:color w:val="auto"/>
        </w:rPr>
        <w:t>paragraph (f)</w:t>
      </w:r>
      <w:r>
        <w:rPr>
          <w:rFonts w:ascii="Times New Roman" w:cs="Times New Roman" w:eastAsia="Times New Roman" w:hAnsi="Times New Roman"/>
          <w:sz w:val="18"/>
          <w:szCs w:val="18"/>
          <w:color w:val="auto"/>
        </w:rPr>
        <w:t xml:space="preserve"> to the contrary, no Committed Purchaser shall be required to make a Purchase pursuant to this paragraph for an amount which would cause the aggregate Investment of such Committed Purchaser (after giving effect to such Purchase) to exceed its Commitment.</w:t>
      </w:r>
    </w:p>
    <w:p>
      <w:pPr>
        <w:spacing w:after="0" w:line="68"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Purchased Interest Computation</w:t>
      </w:r>
      <w:r>
        <w:rPr>
          <w:rFonts w:ascii="Times New Roman" w:cs="Times New Roman" w:eastAsia="Times New Roman" w:hAnsi="Times New Roman"/>
          <w:sz w:val="18"/>
          <w:szCs w:val="18"/>
          <w:color w:val="auto"/>
        </w:rPr>
        <w:t>. The Purchased Interest shall be initially computed on the date of the initial Purchase hereunder. Thereafter, until the Facility Termination Date, such Purchased Interest shall be automatically recomputed (or deemed to be recomputed) on each Business Day other than a Termination Day. From and after the occurrence of any Termination Day, the Purchased Interest shall (until the event(s) giving rise to such Termination Day are satisfied or are waived in accordance with the terms hereof) be deemed to be 100%. The Purchased Interest shall become zero when the Aggregate Investment thereof and Aggregate Discount thereon shall have been paid in full, all the amounts owed by the Seller and the Servicer hereunder to each Purchaser, the Administrator and any other Indemnified Party or Affected Person are paid in full, and the Servicer shall have received the accrued Servicing Fee thereon.</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Settlement Procedures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987"/>
        <w:spacing w:after="0" w:line="266" w:lineRule="auto"/>
        <w:tabs>
          <w:tab w:leader="none" w:pos="1236"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collection of the Pool Receivables shall be administered by the Servicer in accordance with this Agreement. The Seller shall provide to the Servicer on a timely basis all information needed for such administration, including notice of the occurrence of any Termination Day and current computations of the Purchased Interest.</w:t>
      </w:r>
    </w:p>
    <w:p>
      <w:pPr>
        <w:spacing w:after="0" w:line="6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Servicer shall, on each day on which Collections of Pool Receivables are received (or deemed received) by the Seller or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Servicer:</w:t>
      </w:r>
    </w:p>
    <w:p>
      <w:pPr>
        <w:spacing w:after="0" w:line="98" w:lineRule="exact"/>
        <w:rPr>
          <w:rFonts w:ascii="Times New Roman" w:cs="Times New Roman" w:eastAsia="Times New Roman" w:hAnsi="Times New Roman"/>
          <w:sz w:val="18"/>
          <w:szCs w:val="18"/>
          <w:color w:val="auto"/>
        </w:rPr>
      </w:pPr>
    </w:p>
    <w:p>
      <w:pPr>
        <w:ind w:left="440" w:right="120" w:firstLine="419"/>
        <w:spacing w:after="0" w:line="255" w:lineRule="auto"/>
        <w:tabs>
          <w:tab w:leader="none" w:pos="107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aside and hold in trust (and shall, at the request of the Administrator (with the consent or at the direction of a Simple Majority of the Purchasers), segregate in a separate account approved by the Administrator if, at the time of such request, there exists an Unmatured Termination Event or a Termination Event or if the failure to so segregate reasonably could be expected to cause a Material Adverse Effect) for the benefit of each Purchaser Group, out of such Collections, first, an amount equal to the Aggregate Discount accrued through such day for each Portion of Investment and not previously set aside, second, an amount equal to the fees set forth in each Purchaser Group Fee Letter accrued and unpaid through such day, and third, to the extent funds are available therefor, an amount equal to the aggregate of each Purchaser Group’s Ratable Share of the Servicing Fee accrued through such day and not previously set aside;</w:t>
      </w:r>
    </w:p>
    <w:p>
      <w:pPr>
        <w:spacing w:after="0" w:line="80" w:lineRule="exact"/>
        <w:rPr>
          <w:rFonts w:ascii="Times New Roman" w:cs="Times New Roman" w:eastAsia="Times New Roman" w:hAnsi="Times New Roman"/>
          <w:sz w:val="18"/>
          <w:szCs w:val="18"/>
          <w:color w:val="auto"/>
        </w:rPr>
      </w:pPr>
    </w:p>
    <w:p>
      <w:pPr>
        <w:ind w:left="440" w:right="80" w:firstLine="419"/>
        <w:spacing w:after="0" w:line="258" w:lineRule="auto"/>
        <w:tabs>
          <w:tab w:leader="none" w:pos="112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1.4(f)</w:t>
      </w:r>
      <w:r>
        <w:rPr>
          <w:rFonts w:ascii="Times New Roman" w:cs="Times New Roman" w:eastAsia="Times New Roman" w:hAnsi="Times New Roman"/>
          <w:sz w:val="18"/>
          <w:szCs w:val="18"/>
          <w:color w:val="auto"/>
        </w:rPr>
        <w:t xml:space="preserve">, if such day is not a Termination Day, remit to the Seller, ratably, on behalf of each Purchaser Group, the remainder of such Collections. Such remainder shall, to the extent representing a return on the Aggregate Investment, ratably, according to each Purchaser’s Investment, be automatically reinvested in Pool Receivables, and in the Related Security, Collections and other proceeds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w:t>
      </w:r>
      <w:r>
        <w:rPr>
          <w:rFonts w:ascii="Times New Roman" w:cs="Times New Roman" w:eastAsia="Times New Roman" w:hAnsi="Times New Roman"/>
          <w:sz w:val="18"/>
          <w:szCs w:val="18"/>
          <w:color w:val="auto"/>
        </w:rPr>
        <w:t>r, that if the Purchased Interest would exceed 100%, then the Servicer shall not reinvest, but shall set aside and hold in trust for the benefit of the Purchasers (and shall, at the request of the Administrator (with the consent or at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64" w:name="page165"/>
    <w:bookmarkEnd w:id="164"/>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direction of a Simple Majority of the Purchasers), segregate in a separate account approved by the Administrator if, at the time of such request, there exists an Unmatured Termination Event or a Termination Event or if the failure to so segregate reasonably could be expected to cause a Material Adverse Effect) a portion of such Collections that, together with the other Collections set aside pursuant to this paragraph, shall equal the amount necessary to reduce the Purchased Interest to 100%;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the Facility Termination Date has been extended pursuant to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xml:space="preserve"> and any Purchaser (or its Purchaser Agent) has provided notice (an “</w:t>
      </w:r>
      <w:r>
        <w:rPr>
          <w:rFonts w:ascii="Times New Roman" w:cs="Times New Roman" w:eastAsia="Times New Roman" w:hAnsi="Times New Roman"/>
          <w:sz w:val="18"/>
          <w:szCs w:val="18"/>
          <w:u w:val="single" w:color="auto"/>
          <w:color w:val="auto"/>
        </w:rPr>
        <w:t>Exiting Notice</w:t>
      </w:r>
      <w:r>
        <w:rPr>
          <w:rFonts w:ascii="Times New Roman" w:cs="Times New Roman" w:eastAsia="Times New Roman" w:hAnsi="Times New Roman"/>
          <w:sz w:val="18"/>
          <w:szCs w:val="18"/>
          <w:color w:val="auto"/>
        </w:rPr>
        <w:t xml:space="preserve">”) to the Administrator, the Seller and the Servicer of such Purchaser’s refusal, pursuant to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to extend its (or its Committed Purchaser’s) Commitment hereunder (an “</w:t>
      </w:r>
      <w:r>
        <w:rPr>
          <w:rFonts w:ascii="Times New Roman" w:cs="Times New Roman" w:eastAsia="Times New Roman" w:hAnsi="Times New Roman"/>
          <w:sz w:val="18"/>
          <w:szCs w:val="18"/>
          <w:u w:val="single" w:color="auto"/>
          <w:color w:val="auto"/>
        </w:rPr>
        <w:t>Exiting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xml:space="preserve">”) then such Collections shall not be reinvested and shall instead be held in trust for the benefit of such Purchaser and applied in accordance with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below;</w:t>
      </w:r>
    </w:p>
    <w:p>
      <w:pPr>
        <w:spacing w:after="0" w:line="84" w:lineRule="exact"/>
        <w:rPr>
          <w:sz w:val="20"/>
          <w:szCs w:val="20"/>
          <w:color w:val="auto"/>
        </w:rPr>
      </w:pPr>
    </w:p>
    <w:p>
      <w:pPr>
        <w:ind w:right="80" w:firstLine="419"/>
        <w:spacing w:after="0" w:line="252" w:lineRule="auto"/>
        <w:tabs>
          <w:tab w:leader="none" w:pos="73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day is a Termination Day (or any day following the provision of an Exiting Notice), set aside, segregate and hold in trust (and shall, at the request of the Administrator (with the consent or at the direction of a Simple Majority of the Purchasers), segregate in a separate account approved by the Administrator) for the benefit of each Purchaser Group the entire remainder of the Collections (or in the case of an Exiting Purchaser, an amount equal to such Purchaser’s ratable share of such Collections based on its Investment;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solely for the purpose of determining such Purchaser’s ratable share of such Collections, such Purchaser’s Investment shall be deemed to remain constant from the date of the provision of an Exiting Notice until the date such Purchaser’s Investment has been paid in full; it being understood that if such day is also a Termination Day, such Exiting Purchaser’s Investment shall be recalculated taking into account amounts received by such Purchaser in respect of this parenthetical and thereafter Collections shall be set aside for such Purchaser ratably in respect of its Investment (as recalculated));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amounts are set aside and held in trust on any Termination Day of the type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of “Termination Day” (or any day following the provision of an Exiting Notice) and, thereafter, the conditions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Exhibit II</w:t>
      </w:r>
      <w:r>
        <w:rPr>
          <w:rFonts w:ascii="Times New Roman" w:cs="Times New Roman" w:eastAsia="Times New Roman" w:hAnsi="Times New Roman"/>
          <w:sz w:val="18"/>
          <w:szCs w:val="18"/>
          <w:color w:val="auto"/>
        </w:rPr>
        <w:t xml:space="preserve"> are satisfied or waived by the Administrator and a Simple Majority of the Purchasers (or in the case of an Exiting Notice, such Exiting Notice has been revoked by the related Exiting Purchaser and written notice thereof has been provided by such Exiting Purchaser or its Purchaser Agent to the Administrator, the Seller and the Servicer), such previously set-aside amounts shall, to the extent representing a return on Aggregate Investment (or the Investment of the Exiting Purchaser) and ratably in accordance with each Purchaser’s Investment, be reinvested in accordance with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on the day of such subsequent satisfaction or waiver of conditions or revocation of such Exiting Notice; and</w:t>
      </w:r>
    </w:p>
    <w:p>
      <w:pPr>
        <w:spacing w:after="0" w:line="87" w:lineRule="exact"/>
        <w:rPr>
          <w:rFonts w:ascii="Times New Roman" w:cs="Times New Roman" w:eastAsia="Times New Roman" w:hAnsi="Times New Roman"/>
          <w:sz w:val="18"/>
          <w:szCs w:val="18"/>
          <w:color w:val="auto"/>
        </w:rPr>
      </w:pPr>
    </w:p>
    <w:p>
      <w:pPr>
        <w:ind w:right="60" w:firstLine="419"/>
        <w:spacing w:after="0" w:line="261" w:lineRule="auto"/>
        <w:tabs>
          <w:tab w:leader="none" w:pos="72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release to the Seller (subject to </w:t>
      </w:r>
      <w:r>
        <w:rPr>
          <w:rFonts w:ascii="Times New Roman" w:cs="Times New Roman" w:eastAsia="Times New Roman" w:hAnsi="Times New Roman"/>
          <w:sz w:val="18"/>
          <w:szCs w:val="18"/>
          <w:u w:val="single" w:color="auto"/>
          <w:color w:val="auto"/>
        </w:rPr>
        <w:t>Section 1.4(f)</w:t>
      </w:r>
      <w:r>
        <w:rPr>
          <w:rFonts w:ascii="Times New Roman" w:cs="Times New Roman" w:eastAsia="Times New Roman" w:hAnsi="Times New Roman"/>
          <w:sz w:val="18"/>
          <w:szCs w:val="18"/>
          <w:color w:val="auto"/>
        </w:rPr>
        <w:t xml:space="preserve">) for its own account any Collections in excess of: (x) amounts required to be reinvested in accordance with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or the proviso to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plus (y) the amounts that are required to be set aside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the proviso to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plus (z) the Seller’s Share of the Servicing Fee accrued and unpaid through such day and all reasonable and appropriate out-of-pocket costs and expenses of the Servicer for servicing, collecting and administering the Pool Receivables.</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880" w:top="270" w:right="459" w:bottom="1440" w:gutter="0" w:footer="0" w:header="0"/>
        </w:sectPr>
      </w:pPr>
    </w:p>
    <w:bookmarkStart w:id="165" w:name="page166"/>
    <w:bookmarkEnd w:id="165"/>
    <w:p>
      <w:pPr>
        <w:ind w:left="-20" w:firstLine="987"/>
        <w:spacing w:after="0" w:line="255" w:lineRule="auto"/>
        <w:tabs>
          <w:tab w:leader="none" w:pos="1216"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Servicer shall, in accordance with the priorities set forth in </w:t>
      </w:r>
      <w:r>
        <w:rPr>
          <w:rFonts w:ascii="Times New Roman" w:cs="Times New Roman" w:eastAsia="Times New Roman" w:hAnsi="Times New Roman"/>
          <w:sz w:val="18"/>
          <w:szCs w:val="18"/>
          <w:u w:val="single" w:color="auto"/>
          <w:color w:val="auto"/>
        </w:rPr>
        <w:t>Section 1.4(d)</w:t>
      </w:r>
      <w:r>
        <w:rPr>
          <w:rFonts w:ascii="Times New Roman" w:cs="Times New Roman" w:eastAsia="Times New Roman" w:hAnsi="Times New Roman"/>
          <w:sz w:val="18"/>
          <w:szCs w:val="18"/>
          <w:color w:val="auto"/>
        </w:rPr>
        <w:t xml:space="preserve">, deposit on each Settlement Date into the account from time to time specified by the Administrator, Collections held for the benefit of the Purchasers pursuant to </w:t>
      </w:r>
      <w:r>
        <w:rPr>
          <w:rFonts w:ascii="Times New Roman" w:cs="Times New Roman" w:eastAsia="Times New Roman" w:hAnsi="Times New Roman"/>
          <w:sz w:val="18"/>
          <w:szCs w:val="18"/>
          <w:u w:val="single" w:color="auto"/>
          <w:color w:val="auto"/>
        </w:rPr>
        <w:t>Sections 1.4(b)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1.4(f)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WESCO or an Affiliate thereof is the Servicer, such day is not a Termination Day and the Administrator has not notified WESCO (or such Affiliate) that such right is revoked, WESCO (or such Affiliate) may retain the portion of the Collections set aside pursuant to </w:t>
      </w:r>
      <w:r>
        <w:rPr>
          <w:rFonts w:ascii="Times New Roman" w:cs="Times New Roman" w:eastAsia="Times New Roman" w:hAnsi="Times New Roman"/>
          <w:sz w:val="18"/>
          <w:szCs w:val="18"/>
          <w:u w:val="single" w:color="auto"/>
          <w:color w:val="auto"/>
        </w:rPr>
        <w:t>Section 1.4(b)(i)</w:t>
      </w:r>
      <w:r>
        <w:rPr>
          <w:rFonts w:ascii="Times New Roman" w:cs="Times New Roman" w:eastAsia="Times New Roman" w:hAnsi="Times New Roman"/>
          <w:sz w:val="18"/>
          <w:szCs w:val="18"/>
          <w:color w:val="auto"/>
        </w:rPr>
        <w:t xml:space="preserve"> that represents the aggregate of each Purchaser Group’s Ratable Share of the Servicing Fee. Within three Business Days of the last day of each Yield Period with respect to any Portion of Investment, the applicable Purchaser Agent will notify the Servicer and the Administrator by e-mail of the amount of the Discount accrued with respect to such Portion of Investment during the related Yield Period.</w:t>
      </w:r>
    </w:p>
    <w:p>
      <w:pPr>
        <w:spacing w:after="0" w:line="80"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Servicer shall distribute the amounts described (and at the times set forth) in </w:t>
      </w:r>
      <w:r>
        <w:rPr>
          <w:rFonts w:ascii="Times New Roman" w:cs="Times New Roman" w:eastAsia="Times New Roman" w:hAnsi="Times New Roman"/>
          <w:sz w:val="18"/>
          <w:szCs w:val="18"/>
          <w:u w:val="single" w:color="auto"/>
          <w:color w:val="auto"/>
        </w:rPr>
        <w:t>Section 1.4(c)</w:t>
      </w:r>
      <w:r>
        <w:rPr>
          <w:rFonts w:ascii="Times New Roman" w:cs="Times New Roman" w:eastAsia="Times New Roman" w:hAnsi="Times New Roman"/>
          <w:sz w:val="18"/>
          <w:szCs w:val="18"/>
          <w:color w:val="auto"/>
        </w:rPr>
        <w:t>, as follows:</w:t>
      </w:r>
    </w:p>
    <w:p>
      <w:pPr>
        <w:spacing w:after="0" w:line="117" w:lineRule="exact"/>
        <w:rPr>
          <w:rFonts w:ascii="Times New Roman" w:cs="Times New Roman" w:eastAsia="Times New Roman" w:hAnsi="Times New Roman"/>
          <w:sz w:val="18"/>
          <w:szCs w:val="18"/>
          <w:color w:val="auto"/>
        </w:rPr>
      </w:pPr>
    </w:p>
    <w:p>
      <w:pPr>
        <w:ind w:left="1060" w:hanging="221"/>
        <w:spacing w:after="0"/>
        <w:tabs>
          <w:tab w:leader="none" w:pos="10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distribution occurs on a day that is not a Termination Day and the Purchased Interest does not exceed 100%, first to the</w:t>
      </w:r>
    </w:p>
    <w:p>
      <w:pPr>
        <w:spacing w:after="0" w:line="27" w:lineRule="exact"/>
        <w:rPr>
          <w:rFonts w:ascii="Times New Roman" w:cs="Times New Roman" w:eastAsia="Times New Roman" w:hAnsi="Times New Roman"/>
          <w:sz w:val="18"/>
          <w:szCs w:val="18"/>
          <w:color w:val="auto"/>
        </w:rPr>
      </w:pPr>
    </w:p>
    <w:p>
      <w:pPr>
        <w:ind w:left="420" w:right="1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Administrator for distribution to each Purchaser Agent ratably according to the Discount accrued during such Yield Period (for the benefit of the relevant Purchasers within such Purchaser Agent’s Purchaser Group) in payment in full of all accrued Discount and fees (other than Servicing Fees) with respect to each Portion of Investment maintained by such Purchasers; </w:t>
      </w:r>
      <w:r>
        <w:rPr>
          <w:rFonts w:ascii="Times New Roman" w:cs="Times New Roman" w:eastAsia="Times New Roman" w:hAnsi="Times New Roman"/>
          <w:sz w:val="18"/>
          <w:szCs w:val="18"/>
          <w:u w:val="single" w:color="auto"/>
          <w:color w:val="auto"/>
        </w:rPr>
        <w:t>it being understood</w:t>
      </w:r>
      <w:r>
        <w:rPr>
          <w:rFonts w:ascii="Times New Roman" w:cs="Times New Roman" w:eastAsia="Times New Roman" w:hAnsi="Times New Roman"/>
          <w:sz w:val="18"/>
          <w:szCs w:val="18"/>
          <w:color w:val="auto"/>
        </w:rPr>
        <w:t xml:space="preserve"> that each Purchaser Agent shall distribute such amounts to the Purchasers within its Purchaser Group ratably according to Discount and fees, and second, if the Servicer has set aside amounts in respect of the Servicing Fee pursuant to </w:t>
      </w:r>
      <w:r>
        <w:rPr>
          <w:rFonts w:ascii="Times New Roman" w:cs="Times New Roman" w:eastAsia="Times New Roman" w:hAnsi="Times New Roman"/>
          <w:sz w:val="18"/>
          <w:szCs w:val="18"/>
          <w:u w:val="single" w:color="auto"/>
          <w:color w:val="auto"/>
        </w:rPr>
        <w:t>clause (b)(i)</w:t>
      </w:r>
      <w:r>
        <w:rPr>
          <w:rFonts w:ascii="Times New Roman" w:cs="Times New Roman" w:eastAsia="Times New Roman" w:hAnsi="Times New Roman"/>
          <w:sz w:val="18"/>
          <w:szCs w:val="18"/>
          <w:color w:val="auto"/>
        </w:rPr>
        <w:t xml:space="preserve"> and has not retained such amounts pursuant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to the Servicer’s own account (payable in arrears on each Settlement Date) in payment in full of the aggregate of each Purchaser Group’s Ratable Share of accrued Servicing Fees so set aside, and</w:t>
      </w:r>
    </w:p>
    <w:p>
      <w:pPr>
        <w:spacing w:after="0" w:line="80" w:lineRule="exact"/>
        <w:rPr>
          <w:rFonts w:ascii="Times New Roman" w:cs="Times New Roman" w:eastAsia="Times New Roman" w:hAnsi="Times New Roman"/>
          <w:sz w:val="18"/>
          <w:szCs w:val="18"/>
          <w:color w:val="auto"/>
        </w:rPr>
      </w:pPr>
    </w:p>
    <w:p>
      <w:pPr>
        <w:ind w:left="420" w:right="40" w:firstLine="419"/>
        <w:spacing w:after="0" w:line="253" w:lineRule="auto"/>
        <w:tabs>
          <w:tab w:leader="none" w:pos="110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distribution occurs on a Termination Day or on a day when the Purchased Interest exceeds 100%,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if WESCO or an Affiliate thereof is not the Servicer, to the Servicer’s own account in payment in full of all accrued Servicing Fees,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the Administrator for distribution to each Purchaser Agent ratably according to Investment (for the benefit of the relevant Purchasers within such Purchaser Agent’s Purchaser Group) in payment in full of all such accrued Discount with respect to each Portion of Investment funded or maintained by the Purchasers within such Purchaser Agent’s Purchaser Group,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the Administrator for distribution to each Purchaser Agent (for the benefit of the relevant Purchasers within such Purchaser Agent’s Purchaser Group) ratably according to the fees accrued (other than Servicing Fees) in payment in full of all such accrued fees (other than Servicing Fees) with respect to each Portion of Investment maintained by such Purchasers,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the Administrator for distribution to each Purchaser Agent ratably according to the aggregate of the Investment of each Purchaser in each such Purchaser Agent’s Purchaser Group (for the benefit of the relevant Purchasers within such Purchaser Agent’s Purchaser Group) in payment in full of each Purchaser’s Investment (or, if such day is not a Termination Day, the amount necessary to reduce the Purchased Interest to 100%); </w:t>
      </w:r>
      <w:r>
        <w:rPr>
          <w:rFonts w:ascii="Times New Roman" w:cs="Times New Roman" w:eastAsia="Times New Roman" w:hAnsi="Times New Roman"/>
          <w:sz w:val="18"/>
          <w:szCs w:val="18"/>
          <w:u w:val="single" w:color="auto"/>
          <w:color w:val="auto"/>
        </w:rPr>
        <w:t>it being understood</w:t>
      </w:r>
      <w:r>
        <w:rPr>
          <w:rFonts w:ascii="Times New Roman" w:cs="Times New Roman" w:eastAsia="Times New Roman" w:hAnsi="Times New Roman"/>
          <w:sz w:val="18"/>
          <w:szCs w:val="18"/>
          <w:color w:val="auto"/>
        </w:rPr>
        <w:t xml:space="preserve"> that each Purchaser Agent shall distribute the amounts described in the second, third and fourth clauses of this </w:t>
      </w:r>
      <w:r>
        <w:rPr>
          <w:rFonts w:ascii="Times New Roman" w:cs="Times New Roman" w:eastAsia="Times New Roman" w:hAnsi="Times New Roman"/>
          <w:sz w:val="18"/>
          <w:szCs w:val="18"/>
          <w:u w:val="single" w:color="auto"/>
          <w:color w:val="auto"/>
        </w:rPr>
        <w:t>Section 1.4(d)(ii)</w:t>
      </w:r>
      <w:r>
        <w:rPr>
          <w:rFonts w:ascii="Times New Roman" w:cs="Times New Roman" w:eastAsia="Times New Roman" w:hAnsi="Times New Roman"/>
          <w:sz w:val="18"/>
          <w:szCs w:val="18"/>
          <w:color w:val="auto"/>
        </w:rPr>
        <w:t xml:space="preserve"> to the Purchasers within its Purchaser Group ratably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60" w:top="270" w:right="479" w:bottom="1440" w:gutter="0" w:footer="0" w:header="0"/>
        </w:sectPr>
      </w:pPr>
    </w:p>
    <w:bookmarkStart w:id="166" w:name="page167"/>
    <w:bookmarkEnd w:id="166"/>
    <w:p>
      <w:pPr>
        <w:ind w:left="440"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according to Investment or, in the case of the third clause of this </w:t>
      </w:r>
      <w:r>
        <w:rPr>
          <w:rFonts w:ascii="Times New Roman" w:cs="Times New Roman" w:eastAsia="Times New Roman" w:hAnsi="Times New Roman"/>
          <w:sz w:val="18"/>
          <w:szCs w:val="18"/>
          <w:u w:val="single" w:color="auto"/>
          <w:color w:val="auto"/>
        </w:rPr>
        <w:t>Section 1.4(d)(ii)</w:t>
      </w:r>
      <w:r>
        <w:rPr>
          <w:rFonts w:ascii="Times New Roman" w:cs="Times New Roman" w:eastAsia="Times New Roman" w:hAnsi="Times New Roman"/>
          <w:sz w:val="18"/>
          <w:szCs w:val="18"/>
          <w:color w:val="auto"/>
        </w:rPr>
        <w:t xml:space="preserve">, fees (not including the Servicing Fee),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if the Aggregate Investment and accrued Aggregate Discount with respect to each Portion of Investment for all Purchaser Groups have been reduced to zero, and all accrued Servicing Fees payable to the Servicer (if other than WESCO or an Affiliate thereof) have been paid in full, to the Administrator for distribution ratably to each Purchaser Agent (for the benefit of the Purchasers within such Purchaser Group) the Administrator, each Indemnified Party and each Affected Person, in payment in full of any other amounts owed thereto by the Seller or Servicer hereunder, and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to the Servicer’s own account (if the Servicer is WESCO or an Affiliate thereof) in payment in full of the aggregate of each Purchaser Group’s Ratable Share of all accrued Servicing Fees.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After the Aggregate Investment, Aggregate Discount, fees payable pursuant to each Purchaser Group Fee Letter and Servicing Fees with respect to the Purchased Interest, and any other amounts payable by the Seller and the Servicer to each Purchaser Group, the Administrator or any other Indemnified Party or Affected Person hereunder, have been paid in full, all additional Collections with respect to the Purchased Interest shall be paid to the Seller for its own account. Each Purchaser Agent hereby covenants and agrees to timely provide the Administrator with all information necessary for the Administrator to make the allocations to the Purchaser Agents required to be made by the Administrator pursuant to </w:t>
      </w:r>
      <w:r>
        <w:rPr>
          <w:rFonts w:ascii="Times New Roman" w:cs="Times New Roman" w:eastAsia="Times New Roman" w:hAnsi="Times New Roman"/>
          <w:sz w:val="18"/>
          <w:szCs w:val="18"/>
          <w:u w:val="single" w:color="auto"/>
          <w:color w:val="auto"/>
        </w:rPr>
        <w:t>Sections 1.4(d)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1.4(f)</w:t>
      </w:r>
      <w:r>
        <w:rPr>
          <w:rFonts w:ascii="Times New Roman" w:cs="Times New Roman" w:eastAsia="Times New Roman" w:hAnsi="Times New Roman"/>
          <w:sz w:val="18"/>
          <w:szCs w:val="18"/>
          <w:color w:val="auto"/>
        </w:rPr>
        <w:t>, including the applicable account of each Purchaser Agent for which amounts should be distributed.</w:t>
      </w:r>
    </w:p>
    <w:p>
      <w:pPr>
        <w:spacing w:after="0" w:line="79" w:lineRule="exact"/>
        <w:rPr>
          <w:sz w:val="20"/>
          <w:szCs w:val="20"/>
          <w:color w:val="auto"/>
        </w:rPr>
      </w:pPr>
    </w:p>
    <w:p>
      <w:pPr>
        <w:ind w:left="680" w:hanging="244"/>
        <w:spacing w:after="0"/>
        <w:tabs>
          <w:tab w:leader="none" w:pos="6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purposes of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140" w:firstLine="419"/>
        <w:spacing w:after="0" w:line="269" w:lineRule="auto"/>
        <w:tabs>
          <w:tab w:leader="none" w:pos="1078" w:val="left"/>
        </w:tabs>
        <w:numPr>
          <w:ilvl w:val="1"/>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on any day the Outstanding Balance of any Pool Receivable is reduced or adjusted as a result of any defective, rejected, returned, repossessed or foreclosed goods or services, or any revision, cancellation, allowance, discount or other adjustment made by the Seller or any Affiliate of the Seller, or the Servicer or any Affiliate of the Servicer, or any setoff or dispute between the Seller or any Affiliate of the Seller, or the Servicer or any Affiliate of the Servicer and an Obligor, the Seller shall be deemed to have received on such day a Collection of such Pool Receivable in the amount of such reduction or adjustment and, if such reduction or adjustment (x) causes the Purchased Interest to exceed 100%,</w:t>
      </w:r>
    </w:p>
    <w:p>
      <w:pPr>
        <w:spacing w:after="0" w:line="2" w:lineRule="exact"/>
        <w:rPr>
          <w:rFonts w:ascii="Times New Roman" w:cs="Times New Roman" w:eastAsia="Times New Roman" w:hAnsi="Times New Roman"/>
          <w:sz w:val="17"/>
          <w:szCs w:val="17"/>
          <w:color w:val="auto"/>
        </w:rPr>
      </w:pPr>
    </w:p>
    <w:p>
      <w:pPr>
        <w:ind w:left="440" w:right="220" w:hanging="4"/>
        <w:spacing w:after="0" w:line="253" w:lineRule="auto"/>
        <w:tabs>
          <w:tab w:leader="none" w:pos="69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occurs after the occurrence of the Facility Termination Date or (z) occurs at any time when the Purchased Interest exceeds 100% or any Termination Event has occurred and is continuing, the Seller shall pay an amount equal to such reduction or adjustment to a Lock-Box Account (other than an Exception Account) (or as otherwise directed by the Administrator at such time) for the benefit of the Purchasers for application pursuant to </w:t>
      </w:r>
      <w:r>
        <w:rPr>
          <w:rFonts w:ascii="Times New Roman" w:cs="Times New Roman" w:eastAsia="Times New Roman" w:hAnsi="Times New Roman"/>
          <w:sz w:val="18"/>
          <w:szCs w:val="18"/>
          <w:u w:val="single" w:color="auto"/>
          <w:color w:val="auto"/>
        </w:rPr>
        <w:t>Section 1.6(a)</w:t>
      </w:r>
      <w:r>
        <w:rPr>
          <w:rFonts w:ascii="Times New Roman" w:cs="Times New Roman" w:eastAsia="Times New Roman" w:hAnsi="Times New Roman"/>
          <w:sz w:val="18"/>
          <w:szCs w:val="18"/>
          <w:color w:val="auto"/>
        </w:rPr>
        <w:t xml:space="preserve"> within one Business Day of such reduction or adjustment;</w:t>
      </w:r>
    </w:p>
    <w:p>
      <w:pPr>
        <w:spacing w:after="0" w:line="81" w:lineRule="exact"/>
        <w:rPr>
          <w:sz w:val="20"/>
          <w:szCs w:val="20"/>
          <w:color w:val="auto"/>
        </w:rPr>
      </w:pPr>
    </w:p>
    <w:p>
      <w:pPr>
        <w:ind w:left="440" w:firstLine="419"/>
        <w:spacing w:after="0" w:line="258" w:lineRule="auto"/>
        <w:tabs>
          <w:tab w:leader="none" w:pos="112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on any day any of the representations or warranties in </w:t>
      </w:r>
      <w:r>
        <w:rPr>
          <w:rFonts w:ascii="Times New Roman" w:cs="Times New Roman" w:eastAsia="Times New Roman" w:hAnsi="Times New Roman"/>
          <w:sz w:val="18"/>
          <w:szCs w:val="18"/>
          <w:u w:val="single" w:color="auto"/>
          <w:color w:val="auto"/>
        </w:rPr>
        <w:t>Section 1(g)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(m)</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Exhibit III</w:t>
      </w:r>
      <w:r>
        <w:rPr>
          <w:rFonts w:ascii="Times New Roman" w:cs="Times New Roman" w:eastAsia="Times New Roman" w:hAnsi="Times New Roman"/>
          <w:sz w:val="18"/>
          <w:szCs w:val="18"/>
          <w:color w:val="auto"/>
        </w:rPr>
        <w:t xml:space="preserve"> is not true with respect to any Pool Receivable, the Seller shall be deemed to have received on such date, a Collection of such Pool Receivable in full, and if such breach (x) causes the Purchased Interest to exceed 100%, (y) occurs after the occurrence of the Facility Termination Date or (z) occurs at any time when the Purchased Interest exceeds 100% or any Termination Event has occurred and is continuing, the Seller shall pay the amount of such deemed Collection to a Lock-Box Account (other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67" w:name="page168"/>
    <w:bookmarkEnd w:id="167"/>
    <w:p>
      <w:pPr>
        <w:ind w:left="44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than an Exception Account) (or as otherwise directed by the Administrator at such time) for the benefit of the Purchasers for application pursuant to </w:t>
      </w:r>
      <w:r>
        <w:rPr>
          <w:rFonts w:ascii="Times New Roman" w:cs="Times New Roman" w:eastAsia="Times New Roman" w:hAnsi="Times New Roman"/>
          <w:sz w:val="18"/>
          <w:szCs w:val="18"/>
          <w:u w:val="single" w:color="auto"/>
          <w:color w:val="auto"/>
        </w:rPr>
        <w:t>Section 1.6(a)</w:t>
      </w:r>
      <w:r>
        <w:rPr>
          <w:rFonts w:ascii="Times New Roman" w:cs="Times New Roman" w:eastAsia="Times New Roman" w:hAnsi="Times New Roman"/>
          <w:sz w:val="18"/>
          <w:szCs w:val="18"/>
          <w:color w:val="auto"/>
        </w:rPr>
        <w:t xml:space="preserve"> within one Business Day of such breach; provided that, upon payment in full by the Seller of any Pool Receivable in accordance with this </w:t>
      </w:r>
      <w:r>
        <w:rPr>
          <w:rFonts w:ascii="Times New Roman" w:cs="Times New Roman" w:eastAsia="Times New Roman" w:hAnsi="Times New Roman"/>
          <w:sz w:val="18"/>
          <w:szCs w:val="18"/>
          <w:u w:val="single" w:color="auto"/>
          <w:color w:val="auto"/>
        </w:rPr>
        <w:t>Section 1.4(d)(ii)</w:t>
      </w:r>
      <w:r>
        <w:rPr>
          <w:rFonts w:ascii="Times New Roman" w:cs="Times New Roman" w:eastAsia="Times New Roman" w:hAnsi="Times New Roman"/>
          <w:sz w:val="18"/>
          <w:szCs w:val="18"/>
          <w:color w:val="auto"/>
        </w:rPr>
        <w:t>, the Administrator’s and each other Purchaser’s rights in such Receivable shall automatically be conveyed to the Seller, without representation or warranty, but free and clear of all liens, security interests, charges and encumbrances created by or through the Administrator or any Purchaser;</w:t>
      </w:r>
    </w:p>
    <w:p>
      <w:pPr>
        <w:spacing w:after="0" w:line="75" w:lineRule="exact"/>
        <w:rPr>
          <w:sz w:val="20"/>
          <w:szCs w:val="20"/>
          <w:color w:val="auto"/>
        </w:rPr>
      </w:pPr>
    </w:p>
    <w:p>
      <w:pPr>
        <w:ind w:left="444" w:right="220" w:firstLine="419"/>
        <w:spacing w:after="0" w:line="266" w:lineRule="auto"/>
        <w:tabs>
          <w:tab w:leader="none" w:pos="1182"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or as otherwise required by Applicable Law or the relevant Contract, all Collections received from an Obligor of any Receivable shall be applied to the Receivables of such Obligor in the order of the age of such Receivables, starting with the oldest such Receivable, unless such Obligor designates in writing its payment for application to specific Receivables; and</w:t>
      </w:r>
    </w:p>
    <w:p>
      <w:pPr>
        <w:spacing w:after="0" w:line="67" w:lineRule="exact"/>
        <w:rPr>
          <w:rFonts w:ascii="Times New Roman" w:cs="Times New Roman" w:eastAsia="Times New Roman" w:hAnsi="Times New Roman"/>
          <w:sz w:val="18"/>
          <w:szCs w:val="18"/>
          <w:color w:val="auto"/>
        </w:rPr>
      </w:pPr>
    </w:p>
    <w:p>
      <w:pPr>
        <w:ind w:left="444" w:firstLine="419"/>
        <w:spacing w:after="0" w:line="258" w:lineRule="auto"/>
        <w:tabs>
          <w:tab w:leader="none" w:pos="1172"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the Administrator, any Purchaser Agent or any Purchaser shall be required for any reason to pay over to an Obligor (or any trustee, receiver, custodian or similar official in any Insolvency Proceeding) any amount received by it hereunder, such amount shall be deemed not to have been so received by such Person but rather to have been retained by the Seller and, accordingly, such Person shall have a claim against the Seller for such amount, payable when and to the extent that any distribution from or on behalf of such Obligor is made in respect thereof.</w:t>
      </w:r>
    </w:p>
    <w:p>
      <w:pPr>
        <w:spacing w:after="0" w:line="75" w:lineRule="exact"/>
        <w:rPr>
          <w:rFonts w:ascii="Times New Roman" w:cs="Times New Roman" w:eastAsia="Times New Roman" w:hAnsi="Times New Roman"/>
          <w:sz w:val="18"/>
          <w:szCs w:val="18"/>
          <w:color w:val="auto"/>
        </w:rPr>
      </w:pPr>
    </w:p>
    <w:p>
      <w:pPr>
        <w:ind w:left="4" w:firstLine="987"/>
        <w:spacing w:after="0" w:line="282" w:lineRule="auto"/>
        <w:tabs>
          <w:tab w:leader="none" w:pos="122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Seller shall wish to cause the reduction of Aggregate Investment (but not to commence the liquidation, or reduction to zero, of the entire Aggregate Investment), the Seller may do so as follows:</w:t>
      </w:r>
    </w:p>
    <w:p>
      <w:pPr>
        <w:spacing w:after="0" w:line="54" w:lineRule="exact"/>
        <w:rPr>
          <w:sz w:val="20"/>
          <w:szCs w:val="20"/>
          <w:color w:val="auto"/>
        </w:rPr>
      </w:pPr>
    </w:p>
    <w:p>
      <w:pPr>
        <w:ind w:left="444" w:right="20" w:firstLine="419"/>
        <w:spacing w:after="0" w:line="266" w:lineRule="auto"/>
        <w:tabs>
          <w:tab w:leader="none" w:pos="1082"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shall give the Administrator, each Purchaser Agent and the Servicer at least two Business Days’ prior written notice thereof for any reduction of Aggregate Investment (such notice to include the amount of such proposed reduction and the proposed date on which such reduction will commence);</w:t>
      </w:r>
    </w:p>
    <w:p>
      <w:pPr>
        <w:spacing w:after="0" w:line="67" w:lineRule="exact"/>
        <w:rPr>
          <w:rFonts w:ascii="Times New Roman" w:cs="Times New Roman" w:eastAsia="Times New Roman" w:hAnsi="Times New Roman"/>
          <w:sz w:val="18"/>
          <w:szCs w:val="18"/>
          <w:color w:val="auto"/>
        </w:rPr>
      </w:pPr>
    </w:p>
    <w:p>
      <w:pPr>
        <w:ind w:left="444" w:right="420" w:firstLine="419"/>
        <w:spacing w:after="0" w:line="282" w:lineRule="auto"/>
        <w:tabs>
          <w:tab w:leader="none" w:pos="1132"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proposed date of commencement of such reduction and on each day thereafter, the Servicer shall cause Collections not to be reinvested until the amount thereof not so reinvested shall equal the desired amount of reduction; and</w:t>
      </w:r>
    </w:p>
    <w:p>
      <w:pPr>
        <w:spacing w:after="0" w:line="53" w:lineRule="exact"/>
        <w:rPr>
          <w:rFonts w:ascii="Times New Roman" w:cs="Times New Roman" w:eastAsia="Times New Roman" w:hAnsi="Times New Roman"/>
          <w:sz w:val="18"/>
          <w:szCs w:val="18"/>
          <w:color w:val="auto"/>
        </w:rPr>
      </w:pPr>
    </w:p>
    <w:p>
      <w:pPr>
        <w:jc w:val="both"/>
        <w:ind w:left="444" w:firstLine="419"/>
        <w:spacing w:after="0" w:line="261" w:lineRule="auto"/>
        <w:tabs>
          <w:tab w:leader="none" w:pos="1182"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Servicer shall hold such Collections in trust for the benefit of each Purchaser ratably according to its Investment, for payment to the Administrator (for the account of such Purchaser) on the next Settlement Date, and the Aggregate Investment (together with the Investment of any related Purchaser) shall be deemed reduced in the amount to be paid to the Administrator (for the account of such Purchaser) only when in fact finally so paid;</w:t>
      </w:r>
    </w:p>
    <w:p>
      <w:pPr>
        <w:spacing w:after="0" w:line="288" w:lineRule="exact"/>
        <w:rPr>
          <w:sz w:val="20"/>
          <w:szCs w:val="20"/>
          <w:color w:val="auto"/>
        </w:rPr>
      </w:pPr>
    </w:p>
    <w:p>
      <w:pPr>
        <w:ind w:left="104" w:hanging="104"/>
        <w:spacing w:after="0"/>
        <w:tabs>
          <w:tab w:leader="none" w:pos="10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w:t>
      </w:r>
    </w:p>
    <w:p>
      <w:pPr>
        <w:spacing w:after="0" w:line="117" w:lineRule="exact"/>
        <w:rPr>
          <w:rFonts w:ascii="Times New Roman" w:cs="Times New Roman" w:eastAsia="Times New Roman" w:hAnsi="Times New Roman"/>
          <w:sz w:val="18"/>
          <w:szCs w:val="18"/>
          <w:color w:val="auto"/>
        </w:rPr>
      </w:pPr>
    </w:p>
    <w:p>
      <w:pPr>
        <w:ind w:left="444" w:right="560" w:firstLine="419"/>
        <w:spacing w:after="0" w:line="282" w:lineRule="auto"/>
        <w:tabs>
          <w:tab w:leader="none" w:pos="1162"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such reduction shall be not less than $500,000 in the aggregate for all Purchaser Groups (unless the Aggregate Investment at the time of such</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4"/>
          </w:cols>
          <w:pgMar w:left="436" w:top="270" w:right="479" w:bottom="1440" w:gutter="0" w:footer="0" w:header="0"/>
        </w:sectPr>
      </w:pPr>
    </w:p>
    <w:bookmarkStart w:id="168" w:name="page169"/>
    <w:bookmarkEnd w:id="16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reduction is less than $500,000, in which case such reduction shall be in the amount required to reduce the Aggregate Investment to zero); and</w:t>
      </w:r>
    </w:p>
    <w:p>
      <w:pPr>
        <w:spacing w:after="0" w:line="117" w:lineRule="exact"/>
        <w:rPr>
          <w:sz w:val="20"/>
          <w:szCs w:val="20"/>
          <w:color w:val="auto"/>
        </w:rPr>
      </w:pPr>
    </w:p>
    <w:p>
      <w:pPr>
        <w:ind w:left="440" w:right="100" w:firstLine="419"/>
        <w:spacing w:after="0" w:line="282" w:lineRule="auto"/>
        <w:tabs>
          <w:tab w:leader="none" w:pos="114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Portion of Investment, the Seller shall choose a reduction amount, and the date of commencement thereof, so that to the extent practicable such reduction shall commence and conclude in the same Yield Period.</w:t>
      </w:r>
    </w:p>
    <w:p>
      <w:pPr>
        <w:spacing w:after="0" w:line="54"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The Seller shall pay to the Administrator for distribution to each Purchaser Agent for the benefit of the related Purchasers, certain fees in the amounts and on the dates set forth in those certain fee letters, each such letter (as amended or amended and restated through the date hereof and as amended, supplemented, or otherwise modified from time to time, a “</w:t>
      </w:r>
      <w:r>
        <w:rPr>
          <w:rFonts w:ascii="Times New Roman" w:cs="Times New Roman" w:eastAsia="Times New Roman" w:hAnsi="Times New Roman"/>
          <w:sz w:val="18"/>
          <w:szCs w:val="18"/>
          <w:u w:val="single" w:color="auto"/>
          <w:color w:val="auto"/>
        </w:rPr>
        <w:t>Purchaser Group Fee Letter</w:t>
      </w:r>
      <w:r>
        <w:rPr>
          <w:rFonts w:ascii="Times New Roman" w:cs="Times New Roman" w:eastAsia="Times New Roman" w:hAnsi="Times New Roman"/>
          <w:sz w:val="18"/>
          <w:szCs w:val="18"/>
          <w:color w:val="auto"/>
        </w:rPr>
        <w:t>”), in each case among the Seller, the Servicer, the related Purchaser Agent and the related Purchasers.</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Payments and Computations, Etc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40" w:firstLine="987"/>
        <w:spacing w:after="0" w:line="270" w:lineRule="auto"/>
        <w:tabs>
          <w:tab w:leader="none" w:pos="1236"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amounts to be paid or deposited by the Seller or the Servicer hereunder or under any other Transaction Document shall be made without reduction for offset or counterclaim and shall be paid or deposited no later than noon (New York City time) on the day when due in same day funds to the applicable account from time to time designated by the Administrator. All amounts received after noon (New York City time) will be deemed to have been received on the next Business Day. Except as expressly set forth herein (including, without limitation, as set forth in </w:t>
      </w:r>
      <w:r>
        <w:rPr>
          <w:rFonts w:ascii="Times New Roman" w:cs="Times New Roman" w:eastAsia="Times New Roman" w:hAnsi="Times New Roman"/>
          <w:sz w:val="17"/>
          <w:szCs w:val="17"/>
          <w:u w:val="single" w:color="auto"/>
          <w:color w:val="auto"/>
        </w:rPr>
        <w:t>Sections</w:t>
      </w:r>
    </w:p>
    <w:p>
      <w:pPr>
        <w:spacing w:after="0" w:line="2" w:lineRule="exact"/>
        <w:rPr>
          <w:rFonts w:ascii="Times New Roman" w:cs="Times New Roman" w:eastAsia="Times New Roman" w:hAnsi="Times New Roman"/>
          <w:sz w:val="17"/>
          <w:szCs w:val="17"/>
          <w:color w:val="auto"/>
        </w:rPr>
      </w:pPr>
    </w:p>
    <w:p>
      <w:pPr>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1.4(b)(ii)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with respect to Collections held in trust for Exiting Purchasers), the Administrator shall promptly (and, if reasonably practicable, on the day it receives such amounts) distribute to the applicable Purchaser Agent amounts received by it hereunder for the benefit of the Purchasers within such Purchaser Agent’s Purchaser Group, and such Purchaser Agent shall promptly thereafter distribute such amounts received by it to the Purchasers within its Purchaser Group ratably (x) in the case of such amounts paid in respect of Discount and Fees, according to the Discount and Fees payable to such Purchasers and (y) in the case of such amounts paid in respect of Investment (or in respect of any other obligations other than Discount and Fees), according to the outstanding Investment funded by such Purchasers. Unless the Administrator shall have received notice from Seller prior to the date on which any payment is due to the Administrator for the account of any Purchasers hereunder that the Seller (or the Servicer on its behalf) will not make such payment (including because Collections are not available therefor), the Administrator may assume that the Seller has made or will make such payment on such date in accordance herewith and may (but shall not be obligated to), in reliance upon such assumption, distribute to the Purchaser Agents the amount due. In such event, if the Seller (or the Servicer on its behalf) has not in fact made such payment, then each Purchaser Agent severally agrees to repay to the Administrator forthwith on demand the amount so distributed to such Purchaser Agent, with interest thereon, for each day from and including the date such amount is distributed to it to but excluding the date of payment to the Administrator, at the greater of the Overnight Bank Funding Rate and a rate determined by the Administrator in accordance with banking industry rules on interbank compensation.</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69" w:name="page170"/>
    <w:bookmarkEnd w:id="169"/>
    <w:p>
      <w:pPr>
        <w:ind w:firstLine="987"/>
        <w:spacing w:after="0" w:line="282" w:lineRule="auto"/>
        <w:tabs>
          <w:tab w:leader="none" w:pos="124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Whenever any payment or deposit to be made hereunder shall be due on a day other than a Business Day, such payment or deposit shall be made on the next Business Day and such extension of time shall be included in the computation of such payment or deposit.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3" w:lineRule="auto"/>
        <w:tabs>
          <w:tab w:leader="none" w:pos="123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Purchaser Agent, Purchaser, Liquidity Provider, the Administrator or any other Program Support Provider or any of their respective Affiliates (each an “</w:t>
      </w:r>
      <w:r>
        <w:rPr>
          <w:rFonts w:ascii="Times New Roman" w:cs="Times New Roman" w:eastAsia="Times New Roman" w:hAnsi="Times New Roman"/>
          <w:sz w:val="18"/>
          <w:szCs w:val="18"/>
          <w:u w:val="single" w:color="auto"/>
          <w:color w:val="auto"/>
        </w:rPr>
        <w:t>Affected Person</w:t>
      </w:r>
      <w:r>
        <w:rPr>
          <w:rFonts w:ascii="Times New Roman" w:cs="Times New Roman" w:eastAsia="Times New Roman" w:hAnsi="Times New Roman"/>
          <w:sz w:val="18"/>
          <w:szCs w:val="18"/>
          <w:color w:val="auto"/>
        </w:rPr>
        <w:t>”) reasonably determines that the existence of or compliance with: (i) any law or regulation or any change therein or in the interpretation or application thereof, in each case adopted, issued or occurring after the date hereof, or (ii) any request, guideline or directive from any central bank or other Governmental Authority (whether or not having the force of law) issued or occurring after the date of this Agreement, affects or would affect the amount of capital required or expected to be maintained by such Affected Person, and such Affected Person determines that the amount of such capital is increased by or based upon the existence of any commitment to make purchases of (or otherwise to maintain the investment in) Pool Receivables related to this Agreement or any related liquidity facility, credit enhancement facility or other commitments of the same type, then, upon demand by such Affected Person (with a copy to the Administrator), the Seller shall promptly pay to the Administrator, for the account of such Affected Person, from time to time as specified by such Affected Person, additional amounts sufficient to compensate such Affected Person in the light of such circumstances, to the extent that such Affected Person reasonably determines such increase in capital to be allocable to the existence of any of such commitments. A certificate as to such amounts submitted to the Seller and the Administrator by such Affected Person shall be conclusive and binding for all purposes, absent manifest error.</w:t>
      </w:r>
    </w:p>
    <w:p>
      <w:pPr>
        <w:spacing w:after="0" w:line="81" w:lineRule="exact"/>
        <w:rPr>
          <w:rFonts w:ascii="Times New Roman" w:cs="Times New Roman" w:eastAsia="Times New Roman" w:hAnsi="Times New Roman"/>
          <w:sz w:val="18"/>
          <w:szCs w:val="18"/>
          <w:color w:val="auto"/>
        </w:rPr>
      </w:pPr>
    </w:p>
    <w:p>
      <w:pPr>
        <w:ind w:right="20" w:firstLine="987"/>
        <w:spacing w:after="0" w:line="255" w:lineRule="auto"/>
        <w:tabs>
          <w:tab w:leader="none" w:pos="124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due to either: (i) the introduction of or any change in or in the interpretation of any law or regulation or (ii) compliance with any guideline or request from any central bank or other Governmental Authority (whether or not having the force of law), there shall be any increase in the cost to any Affected Person of agreeing to purchase or purchasing, or maintaining the ownership of, the Purchased Interest or any portion thereof in respect of which Discount is computed by reference to the applicable Benchmark, then, upon demand by such Affected Person, the Seller shall promptly pay to such Affected Person, from time to time as specified by such Affected Person, additional amounts sufficient to compensate such Affected Person for such increased costs. A certificate as to such amounts submitted to the Seller and the Administrator by such Affected Person shall be conclusive and binding for all purposes, absent manifest error.</w:t>
      </w:r>
    </w:p>
    <w:p>
      <w:pPr>
        <w:spacing w:after="0" w:line="80" w:lineRule="exact"/>
        <w:rPr>
          <w:rFonts w:ascii="Times New Roman" w:cs="Times New Roman" w:eastAsia="Times New Roman" w:hAnsi="Times New Roman"/>
          <w:sz w:val="18"/>
          <w:szCs w:val="18"/>
          <w:color w:val="auto"/>
        </w:rPr>
      </w:pPr>
    </w:p>
    <w:p>
      <w:pPr>
        <w:ind w:right="780" w:firstLine="987"/>
        <w:spacing w:after="0" w:line="282" w:lineRule="auto"/>
        <w:tabs>
          <w:tab w:leader="none" w:pos="123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increased costs affect the related Affected Person’s portfolio of financing transactions, such Affected Person shall use reasonable averaging and attribution methods to allocate such increased costs to the transactions contemplated by this Agreement.</w:t>
      </w:r>
    </w:p>
    <w:p>
      <w:pPr>
        <w:spacing w:after="0" w:line="53" w:lineRule="exact"/>
        <w:rPr>
          <w:rFonts w:ascii="Times New Roman" w:cs="Times New Roman" w:eastAsia="Times New Roman" w:hAnsi="Times New Roman"/>
          <w:sz w:val="18"/>
          <w:szCs w:val="18"/>
          <w:color w:val="auto"/>
        </w:rPr>
      </w:pPr>
    </w:p>
    <w:p>
      <w:pPr>
        <w:ind w:right="80" w:firstLine="987"/>
        <w:spacing w:after="0" w:line="261" w:lineRule="auto"/>
        <w:tabs>
          <w:tab w:leader="none" w:pos="124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for purposes of this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(i) the Dodd-Frank Wall Street Reform and Consumer Protection Act, and all requests, rules, guidelines and directives promulgated thereunder and (ii) all requests, rules, guidelines or directives promulgated by the Bank for International Settlements, the Basel Committee on Banking Supervision (or any successor or similar authority) or any Governmental Authority, any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70" w:name="page171"/>
    <w:bookmarkEnd w:id="170"/>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central bank of any jurisdiction, comparable agency or other Person, in each case pursuant to, or implementing, the accord know as Basel II or Basel III, are, in the case of each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deemed to have been introduced or adopted after the date hereof, regardless of the date enacted, adopted, issued, promulgated or implemented.</w:t>
      </w:r>
    </w:p>
    <w:p>
      <w:pPr>
        <w:spacing w:after="0" w:line="68" w:lineRule="exact"/>
        <w:rPr>
          <w:sz w:val="20"/>
          <w:szCs w:val="20"/>
          <w:color w:val="auto"/>
        </w:rPr>
      </w:pPr>
    </w:p>
    <w:p>
      <w:pPr>
        <w:ind w:firstLine="987"/>
        <w:spacing w:after="0" w:line="256" w:lineRule="auto"/>
        <w:tabs>
          <w:tab w:leader="none" w:pos="123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or delay on the part of any Affected Person to demand compensation pursuant to this Section shall not constitute a waiver of such Affected Person’s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Seller shall not be required to compensate an Affected Person pursuant to this Section for any increased costs or reductions incurred more than 180 days prior to the date that such Affected Person, as the case may be, notifies the Seller of the occurrence or event giving rise to such increased costs or reductions and of such Affected Person’s intention to claim compensation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if the occurrence or event giving rise to such increased costs or reductions is retroactive, then the 180-day period referred to above shall be extended to include the period of retroactive effect thereof.</w:t>
      </w:r>
    </w:p>
    <w:p>
      <w:pPr>
        <w:spacing w:after="0" w:line="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If any Affected Person reasonably determines that the existence of or compliance with: (a) any law or regulation or any change therein or in the interpretation or application thereof, in each case adopted, issued or occurring after the date hereof, or (b) any request, guideline or directive from any central bank or other Governmental Authority (whether or not having the force of law) issued or occurring after the date of this Agreement:</w:t>
      </w:r>
    </w:p>
    <w:p>
      <w:pPr>
        <w:spacing w:after="0" w:line="68" w:lineRule="exact"/>
        <w:rPr>
          <w:sz w:val="20"/>
          <w:szCs w:val="20"/>
          <w:color w:val="auto"/>
        </w:rPr>
      </w:pPr>
    </w:p>
    <w:p>
      <w:pPr>
        <w:ind w:left="440" w:right="380" w:firstLine="419"/>
        <w:spacing w:after="0" w:line="258" w:lineRule="auto"/>
        <w:tabs>
          <w:tab w:leader="none" w:pos="1078"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or shall subject such Affected Person to any tax of any kind whatsoever with respect to this Agreement, any increase in the Purchased Interest or any portion thereof or in the amount of such Person’s Investment relating thereto, or does or shall change the basis of taxation of payments to such Affected Person on account of Collections, Discount or any other amounts payable hereunder (excluding taxes imposed on the overall pre-tax net income of such Affected Person, and franchise taxes imposed on such Affected Person, by the jurisdiction under the laws of which such Affected Person is organized or a political subdivision thereof),</w:t>
      </w:r>
    </w:p>
    <w:p>
      <w:pPr>
        <w:spacing w:after="0" w:line="75" w:lineRule="exact"/>
        <w:rPr>
          <w:rFonts w:ascii="Times New Roman" w:cs="Times New Roman" w:eastAsia="Times New Roman" w:hAnsi="Times New Roman"/>
          <w:sz w:val="18"/>
          <w:szCs w:val="18"/>
          <w:color w:val="auto"/>
        </w:rPr>
      </w:pPr>
    </w:p>
    <w:p>
      <w:pPr>
        <w:jc w:val="both"/>
        <w:ind w:left="440" w:right="60" w:firstLine="419"/>
        <w:spacing w:after="0" w:line="261" w:lineRule="auto"/>
        <w:tabs>
          <w:tab w:leader="none" w:pos="1128"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or shall impose, modify or hold applicable any reserve, special deposit, compulsory loan or similar requirement against assets held by, or deposits or other liabilities in or for the account of, purchases, advances or loans by, or other credit extended by, or any other acquisition of funds by, any office of such Affected Person that are not otherwise included in the determination of the applicable Benchmark or the Base Rate hereunder, or</w:t>
      </w:r>
    </w:p>
    <w:p>
      <w:pPr>
        <w:spacing w:after="0" w:line="71"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or shall impose on such Affected Person any other condition,</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and the result of any of the foregoing is: (A) to increase the cost to such Affected Person of acting as Administrator or as a Purchaser Agent, or of agreeing to purchase or purchasing or maintaining the ownership of undivided percentage ownership interests with regard to the Purchased Interest (or interests therein) or any Portion of Investment, or (B) to reduce any amount receivable hereunder (whether directly or indirectly), then, in any such case, upon demand by such Affected Person, the Seller shall promptly pay to such Affected Person</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40" w:top="270" w:right="499" w:bottom="1440" w:gutter="0" w:footer="0" w:header="0"/>
        </w:sectPr>
      </w:pPr>
    </w:p>
    <w:bookmarkStart w:id="171" w:name="page172"/>
    <w:bookmarkEnd w:id="171"/>
    <w:p>
      <w:pPr>
        <w:ind w:left="4" w:right="4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additional amounts necessary to compensate such Affected Person for such additional cost or reduced amount receivable. All such amounts shall be payable as incurred. A certificate from such Affected Person to the Seller and the Administrator certifying, in reasonably specific detail, the basis for, calculation of, and amount of such additional costs or reduced amount receivable shall be conclusive and binding for all purposes, absent manifest error;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no Affected Person shall be required to disclose any confidential or tax planning information in any such certificate;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notwithstanding anything to the contrary, for purposes of this </w:t>
      </w:r>
      <w:r>
        <w:rPr>
          <w:rFonts w:ascii="Times New Roman" w:cs="Times New Roman" w:eastAsia="Times New Roman" w:hAnsi="Times New Roman"/>
          <w:sz w:val="17"/>
          <w:szCs w:val="17"/>
          <w:u w:val="single" w:color="auto"/>
          <w:color w:val="auto"/>
        </w:rPr>
        <w:t>Section 1.8</w:t>
      </w:r>
      <w:r>
        <w:rPr>
          <w:rFonts w:ascii="Times New Roman" w:cs="Times New Roman" w:eastAsia="Times New Roman" w:hAnsi="Times New Roman"/>
          <w:sz w:val="17"/>
          <w:szCs w:val="17"/>
          <w:color w:val="auto"/>
        </w:rPr>
        <w:t>, (i) the Dodd-Frank Wall Street Reform and Consumer Protection Act, and all requests, rules, guidelines and directives promulgated thereunder, and (ii) all requests, rules, guidelines or directives promulgated by the Bank for International Settlements, the Basel Committee on Banking Supervision (or any successor or similar authority) or any Governmental Authority, any central bank of any jurisdiction, comparable agency or other Person, in each case pursuant to, or implementing, the accord know as Basel</w:t>
      </w:r>
    </w:p>
    <w:p>
      <w:pPr>
        <w:ind w:left="4" w:right="120" w:hanging="4"/>
        <w:spacing w:after="0" w:line="260" w:lineRule="auto"/>
        <w:tabs>
          <w:tab w:leader="none" w:pos="169"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or Basel III, are, in the case of each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deemed to have been introduced or adopted after the date hereof, regardless of the date enacted, adopted, issued, promulgated or implemented.</w:t>
      </w:r>
    </w:p>
    <w:p>
      <w:pPr>
        <w:spacing w:after="0" w:line="73"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 xml:space="preserve">Failure or delay on the part of any Affected Person to demand compensation pursuant to this Section shall not constitute a waiver of such Affected Person’s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Seller shall not be required to compensate an Affected Person pursuant to this Section for any increased costs or reductions incurred more than 180 days prior to the date that such Affected Person, as the case may be, notifies the Seller of the occurrence or event giving rise to such increased costs or reductions and of such Affected Person’s intention to claim compensation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if the occurrence or event giving rise to such increased costs or reductions is retroactive, then the 180-day period referred to above shall be extended to include the period of retroactive effect thereof.</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Section 1.9.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1.10. </w:t>
      </w:r>
      <w:r>
        <w:rPr>
          <w:rFonts w:ascii="Times New Roman" w:cs="Times New Roman" w:eastAsia="Times New Roman" w:hAnsi="Times New Roman"/>
          <w:sz w:val="18"/>
          <w:szCs w:val="18"/>
          <w:u w:val="single" w:color="auto"/>
          <w:color w:val="auto"/>
        </w:rPr>
        <w:t>Extension of Termination Date</w:t>
      </w:r>
      <w:r>
        <w:rPr>
          <w:rFonts w:ascii="Times New Roman" w:cs="Times New Roman" w:eastAsia="Times New Roman" w:hAnsi="Times New Roman"/>
          <w:sz w:val="18"/>
          <w:szCs w:val="18"/>
          <w:color w:val="auto"/>
        </w:rPr>
        <w:t xml:space="preserve">. The Seller may advise the Administrator and each Committed Purchaser in writing of its desire to extend the Scheduled Commitment Termination Date with respect to such Purchaser;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request is made not more than one-hundred twenty (120) days prior to, and not less than sixty (60) days prior to, the then current Scheduled Commitment Termination Date with respect to such Purchaser. In the event that the applicable Purchaser is agreeable to such extension, the Administrator shall so notify the Seller in writing (</w:t>
      </w:r>
      <w:r>
        <w:rPr>
          <w:rFonts w:ascii="Times New Roman" w:cs="Times New Roman" w:eastAsia="Times New Roman" w:hAnsi="Times New Roman"/>
          <w:sz w:val="18"/>
          <w:szCs w:val="18"/>
          <w:u w:val="single" w:color="auto"/>
          <w:color w:val="auto"/>
        </w:rPr>
        <w:t>it being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understood</w:t>
      </w:r>
      <w:r>
        <w:rPr>
          <w:rFonts w:ascii="Times New Roman" w:cs="Times New Roman" w:eastAsia="Times New Roman" w:hAnsi="Times New Roman"/>
          <w:sz w:val="18"/>
          <w:szCs w:val="18"/>
          <w:color w:val="auto"/>
        </w:rPr>
        <w:t xml:space="preserve"> that the Purchasers may accept or decline such a request in their sole discretion and on such terms as they may elect) not less than 30 days prior to its then current Scheduled Commitment Termination Date and the Seller, the Administrator, the Purchaser Agents and the Purchasers shall enter into such documents as the Purchasers may deem necessary or appropriate to reflect such extension, and all reasonable costs and expenses incurred by the Purchasers, the Administrator and the Purchaser Agents in connection therewith (including reasonable Attorney Costs) shall be paid by the Seller. In the event a Purchaser declines the request for such extension, the Administrator shall so notify the Seller and each Purchaser Agent of such determination;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of the Administrator to notify the Seller of the determination to decline such extension shall not affect the understanding and agreement that the Purchaser shall be deemed to have refused to grant the</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172" w:name="page173"/>
    <w:bookmarkEnd w:id="172"/>
    <w:p>
      <w:pPr>
        <w:ind w:left="4" w:right="7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requested extension in the event the Administrator fails to affirmatively notify the Seller, in writing, of their agreement to accept the requested extension.</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Increase in Commitments.</w:t>
      </w:r>
    </w:p>
    <w:p>
      <w:pPr>
        <w:spacing w:after="0" w:line="117" w:lineRule="exact"/>
        <w:rPr>
          <w:sz w:val="20"/>
          <w:szCs w:val="20"/>
          <w:color w:val="auto"/>
        </w:rPr>
      </w:pPr>
    </w:p>
    <w:p>
      <w:pPr>
        <w:ind w:left="4" w:right="100" w:firstLine="987"/>
        <w:spacing w:after="0" w:line="267" w:lineRule="auto"/>
        <w:tabs>
          <w:tab w:leader="none" w:pos="1240" w:val="left"/>
        </w:tabs>
        <w:numPr>
          <w:ilvl w:val="1"/>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Requests for Increase</w:t>
      </w:r>
      <w:r>
        <w:rPr>
          <w:rFonts w:ascii="Times New Roman" w:cs="Times New Roman" w:eastAsia="Times New Roman" w:hAnsi="Times New Roman"/>
          <w:sz w:val="17"/>
          <w:szCs w:val="17"/>
          <w:color w:val="auto"/>
        </w:rPr>
        <w:t xml:space="preserve">. So long as no Termination Event or Unmatured Termination Event has occurred and is continuing, upon notice to the Administrator and each Purchaser Agent, the Servicer (on behalf of the Seller) may from time to time (i) request an increase in the Commitment with respect to any existing Committed Purchaser (with the consent of the Administrator) or (ii) request that additional Persons be added as Committed Purchasers subject to the provisions of </w:t>
      </w:r>
      <w:r>
        <w:rPr>
          <w:rFonts w:ascii="Times New Roman" w:cs="Times New Roman" w:eastAsia="Times New Roman" w:hAnsi="Times New Roman"/>
          <w:sz w:val="17"/>
          <w:szCs w:val="17"/>
          <w:u w:val="single" w:color="auto"/>
          <w:color w:val="auto"/>
        </w:rPr>
        <w:t>Section 1.2(e)</w:t>
      </w:r>
      <w:r>
        <w:rPr>
          <w:rFonts w:ascii="Times New Roman" w:cs="Times New Roman" w:eastAsia="Times New Roman" w:hAnsi="Times New Roman"/>
          <w:sz w:val="17"/>
          <w:szCs w:val="17"/>
          <w:color w:val="auto"/>
        </w:rPr>
        <w:t>, in each case at any time following the Closing Date and prior to the Facility Termination Date (it being understood and agreed that, for the avoidance of doubt, at no time shall the aggregate of all Commitments exceed $</w:t>
      </w:r>
      <w:r>
        <w:rPr>
          <w:rFonts w:ascii="Times New Roman" w:cs="Times New Roman" w:eastAsia="Times New Roman" w:hAnsi="Times New Roman"/>
          <w:sz w:val="17"/>
          <w:szCs w:val="17"/>
          <w:color w:val="FF0000"/>
          <w:strike w:val="1"/>
        </w:rPr>
        <w:t>1,750,000,000</w:t>
      </w:r>
      <w:r>
        <w:rPr>
          <w:rFonts w:ascii="Times New Roman" w:cs="Times New Roman" w:eastAsia="Times New Roman" w:hAnsi="Times New Roman"/>
          <w:sz w:val="17"/>
          <w:szCs w:val="17"/>
          <w:u w:val="single" w:color="auto"/>
          <w:color w:val="0000FF"/>
        </w:rPr>
        <w:t>1,850,000,000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each request for an increase or addition of a Person pursuant to </w:t>
      </w:r>
      <w:r>
        <w:rPr>
          <w:rFonts w:ascii="Times New Roman" w:cs="Times New Roman" w:eastAsia="Times New Roman" w:hAnsi="Times New Roman"/>
          <w:sz w:val="17"/>
          <w:szCs w:val="17"/>
          <w:u w:val="single" w:color="auto"/>
          <w:color w:val="auto"/>
        </w:rPr>
        <w:t>Section 1.2(e)</w:t>
      </w:r>
      <w:r>
        <w:rPr>
          <w:rFonts w:ascii="Times New Roman" w:cs="Times New Roman" w:eastAsia="Times New Roman" w:hAnsi="Times New Roman"/>
          <w:sz w:val="17"/>
          <w:szCs w:val="17"/>
          <w:color w:val="auto"/>
        </w:rPr>
        <w:t xml:space="preserve"> shall be in a minimum amount of $10,000,000 and increments of $5,000,000 above such minimum amount. At the time of sending such notice with respect to any existing Committed Purchaser, the Servicer (in consultation with the Administrator and the Purchaser Agent related to such Committed Purchaser) shall specify the time period within which such Committed Purchaser and the Administrator are requested to respond to the Servicer’s request (which shall in no event be less than ten</w:t>
      </w:r>
    </w:p>
    <w:p>
      <w:pPr>
        <w:spacing w:after="0" w:line="5" w:lineRule="exact"/>
        <w:rPr>
          <w:rFonts w:ascii="Times New Roman" w:cs="Times New Roman" w:eastAsia="Times New Roman" w:hAnsi="Times New Roman"/>
          <w:sz w:val="17"/>
          <w:szCs w:val="17"/>
          <w:color w:val="auto"/>
        </w:rPr>
      </w:pPr>
    </w:p>
    <w:p>
      <w:pPr>
        <w:ind w:left="4" w:right="260" w:hanging="4"/>
        <w:spacing w:after="0" w:line="260" w:lineRule="auto"/>
        <w:tabs>
          <w:tab w:leader="none" w:pos="349"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from the date of delivery of such notice to the Administrator and such Committed Purchaser and its related Purchaser Agent). For the avoidance of doubt, any increase in the Commitment of any Committed Purchaser is at the sole discretion of such Committed Purchaser.</w:t>
      </w:r>
    </w:p>
    <w:p>
      <w:pPr>
        <w:spacing w:after="0" w:line="73" w:lineRule="exact"/>
        <w:rPr>
          <w:rFonts w:ascii="Times New Roman" w:cs="Times New Roman" w:eastAsia="Times New Roman" w:hAnsi="Times New Roman"/>
          <w:sz w:val="18"/>
          <w:szCs w:val="18"/>
          <w:color w:val="auto"/>
        </w:rPr>
      </w:pPr>
    </w:p>
    <w:p>
      <w:pPr>
        <w:ind w:left="4" w:firstLine="987"/>
        <w:spacing w:after="0" w:line="258" w:lineRule="auto"/>
        <w:tabs>
          <w:tab w:leader="none" w:pos="125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Elections to Increase</w:t>
      </w:r>
      <w:r>
        <w:rPr>
          <w:rFonts w:ascii="Times New Roman" w:cs="Times New Roman" w:eastAsia="Times New Roman" w:hAnsi="Times New Roman"/>
          <w:sz w:val="18"/>
          <w:szCs w:val="18"/>
          <w:color w:val="auto"/>
        </w:rPr>
        <w:t>. In respect of any existing Committed Purchaser, each of such Committed Purchaser being asked to increase its Commitment and the Administrator shall notify the Seller and the Servicer within the applicable time period whether or not such Person agrees, in its respective sole discretion, to the increase to such Committed Purchaser’s Commitment. Any such Person not responding within such time period shall be deemed to have declined to consent to an increase in such Committed Purchaser’s Commitment. For the avoidance of doubt, only the consent of the Committed Purchaser then being asked to increase its Commitment and the Administrator shall be required in order to approve any such request.</w:t>
      </w:r>
    </w:p>
    <w:p>
      <w:pPr>
        <w:spacing w:after="0" w:line="75" w:lineRule="exact"/>
        <w:rPr>
          <w:rFonts w:ascii="Times New Roman" w:cs="Times New Roman" w:eastAsia="Times New Roman" w:hAnsi="Times New Roman"/>
          <w:sz w:val="18"/>
          <w:szCs w:val="18"/>
          <w:color w:val="auto"/>
        </w:rPr>
      </w:pPr>
    </w:p>
    <w:p>
      <w:pPr>
        <w:ind w:left="4" w:right="340" w:firstLine="987"/>
        <w:spacing w:after="0" w:line="266" w:lineRule="auto"/>
        <w:tabs>
          <w:tab w:leader="none" w:pos="124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If the Commitment of any existing Committed Purchaser is increased in accordance with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the Administrator and the Purchaser Agent for such Committed Purchaser shall determine the effective date with respect to such increase (such date, the “</w:t>
      </w:r>
      <w:r>
        <w:rPr>
          <w:rFonts w:ascii="Times New Roman" w:cs="Times New Roman" w:eastAsia="Times New Roman" w:hAnsi="Times New Roman"/>
          <w:sz w:val="18"/>
          <w:szCs w:val="18"/>
          <w:u w:val="single" w:color="auto"/>
          <w:color w:val="auto"/>
        </w:rPr>
        <w:t>Commitment Increase Effective Date</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 w:right="700" w:firstLine="987"/>
        <w:spacing w:after="0" w:line="266" w:lineRule="auto"/>
        <w:tabs>
          <w:tab w:leader="none" w:pos="125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by the Administrator</w:t>
      </w:r>
      <w:r>
        <w:rPr>
          <w:rFonts w:ascii="Times New Roman" w:cs="Times New Roman" w:eastAsia="Times New Roman" w:hAnsi="Times New Roman"/>
          <w:sz w:val="18"/>
          <w:szCs w:val="18"/>
          <w:color w:val="auto"/>
        </w:rPr>
        <w:t>. The Administrator shall notify each Purchaser Agent, the Seller and the Servicer of the Administrator’s and such Committed Purchaser’s response to each request made hereunder, the amount of such increase (if any) and the related Commitment Increase Effective Date.</w:t>
      </w:r>
    </w:p>
    <w:p>
      <w:pPr>
        <w:spacing w:after="0" w:line="67" w:lineRule="exact"/>
        <w:rPr>
          <w:rFonts w:ascii="Times New Roman" w:cs="Times New Roman" w:eastAsia="Times New Roman" w:hAnsi="Times New Roman"/>
          <w:sz w:val="18"/>
          <w:szCs w:val="18"/>
          <w:color w:val="auto"/>
        </w:rPr>
      </w:pPr>
    </w:p>
    <w:p>
      <w:pPr>
        <w:ind w:left="4" w:right="140" w:firstLine="987"/>
        <w:spacing w:after="0" w:line="282" w:lineRule="auto"/>
        <w:tabs>
          <w:tab w:leader="none" w:pos="124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Effectiveness of Increase</w:t>
      </w:r>
      <w:r>
        <w:rPr>
          <w:rFonts w:ascii="Times New Roman" w:cs="Times New Roman" w:eastAsia="Times New Roman" w:hAnsi="Times New Roman"/>
          <w:sz w:val="18"/>
          <w:szCs w:val="18"/>
          <w:color w:val="auto"/>
        </w:rPr>
        <w:t>. As a condition precedent to each such increase, the Servicer shall deliver to the Administrator and each Purchaser Agent, a certificate of the Secretary or Assistant Secretary of each of the Seller and the Servicer, dated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6206490</wp:posOffset>
            </wp:positionH>
            <wp:positionV relativeFrom="paragraph">
              <wp:posOffset>-2894330</wp:posOffset>
            </wp:positionV>
            <wp:extent cx="65976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59765" cy="8255"/>
                    </a:xfrm>
                    <a:prstGeom prst="rect">
                      <a:avLst/>
                    </a:prstGeom>
                    <a:noFill/>
                  </pic:spPr>
                </pic:pic>
              </a:graphicData>
            </a:graphic>
          </wp:anchor>
        </w:drawing>
      </w:r>
    </w:p>
    <w:p>
      <w:pPr>
        <w:spacing w:after="0" w:line="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4"/>
          </w:cols>
          <w:pgMar w:left="436" w:top="270" w:right="439" w:bottom="1440" w:gutter="0" w:footer="0" w:header="0"/>
        </w:sectPr>
      </w:pPr>
    </w:p>
    <w:bookmarkStart w:id="173" w:name="page174"/>
    <w:bookmarkEnd w:id="173"/>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the Commitment Increase Effective Date, (i) certifying and attaching (x) the resolutions of the Board of Directors of such Person adopted by such Board of Directors approving or consenting to such Commitment increase and authorizing the execution, delivery and performance by such Person of the amendment to this Agreement contemplated in </w:t>
      </w:r>
      <w:r>
        <w:rPr>
          <w:rFonts w:ascii="Times New Roman" w:cs="Times New Roman" w:eastAsia="Times New Roman" w:hAnsi="Times New Roman"/>
          <w:sz w:val="18"/>
          <w:szCs w:val="18"/>
          <w:u w:val="single" w:color="auto"/>
          <w:color w:val="auto"/>
        </w:rPr>
        <w:t>Section 1.11(c)</w:t>
      </w:r>
      <w:r>
        <w:rPr>
          <w:rFonts w:ascii="Times New Roman" w:cs="Times New Roman" w:eastAsia="Times New Roman" w:hAnsi="Times New Roman"/>
          <w:sz w:val="18"/>
          <w:szCs w:val="18"/>
          <w:color w:val="auto"/>
        </w:rPr>
        <w:t xml:space="preserve">, as applicable (it being understood that such resolutions may be dated as of a date prior to the Commitment Increase Effective Date), and (y) all documents evidencing all other necessary corporate action and governmental approvals, if any, with respect to such Commitment increase and such amendment to this Agreement (it being understood that such documents may be dated as of a date prior to the Commitment Increase Effective Date) and (ii) certifying that, before and after giving effect to such increase, (x) the representations and warranties of such Person contained in </w:t>
      </w:r>
      <w:r>
        <w:rPr>
          <w:rFonts w:ascii="Times New Roman" w:cs="Times New Roman" w:eastAsia="Times New Roman" w:hAnsi="Times New Roman"/>
          <w:sz w:val="18"/>
          <w:szCs w:val="18"/>
          <w:u w:val="single" w:color="auto"/>
          <w:color w:val="auto"/>
        </w:rPr>
        <w:t>Exhibit III</w:t>
      </w:r>
      <w:r>
        <w:rPr>
          <w:rFonts w:ascii="Times New Roman" w:cs="Times New Roman" w:eastAsia="Times New Roman" w:hAnsi="Times New Roman"/>
          <w:sz w:val="18"/>
          <w:szCs w:val="18"/>
          <w:color w:val="auto"/>
        </w:rPr>
        <w:t xml:space="preserve"> are true and correct as of the Commitment Increase Effective Date and (y) no Termination Event or Unmatured Termination Event exists or shall exist.</w:t>
      </w:r>
    </w:p>
    <w:p>
      <w:pPr>
        <w:spacing w:after="0" w:line="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Conflicting Provisions</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shall supersede any provisions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to the contrary.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Discount Rates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69" w:lineRule="auto"/>
        <w:tabs>
          <w:tab w:leader="none" w:pos="1236" w:val="left"/>
        </w:tabs>
        <w:numPr>
          <w:ilvl w:val="1"/>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Discount Rate Options</w:t>
      </w:r>
      <w:r>
        <w:rPr>
          <w:rFonts w:ascii="Times New Roman" w:cs="Times New Roman" w:eastAsia="Times New Roman" w:hAnsi="Times New Roman"/>
          <w:sz w:val="17"/>
          <w:szCs w:val="17"/>
          <w:color w:val="auto"/>
        </w:rPr>
        <w:t xml:space="preserve">. The Seller shall pay Discount in respect of the Aggregate Investment as selected by it from the applicable Discount Rate Options specified below applicable to the Investments </w:t>
      </w:r>
      <w:r>
        <w:rPr>
          <w:rFonts w:ascii="Times New Roman" w:cs="Times New Roman" w:eastAsia="Times New Roman" w:hAnsi="Times New Roman"/>
          <w:sz w:val="17"/>
          <w:szCs w:val="17"/>
          <w:u w:val="single" w:color="auto"/>
          <w:color w:val="0000FF"/>
        </w:rPr>
        <w:t>(other than CP Rate Investments)</w:t>
      </w:r>
      <w:r>
        <w:rPr>
          <w:rFonts w:ascii="Times New Roman" w:cs="Times New Roman" w:eastAsia="Times New Roman" w:hAnsi="Times New Roman"/>
          <w:sz w:val="17"/>
          <w:szCs w:val="17"/>
          <w:color w:val="auto"/>
        </w:rPr>
        <w:t xml:space="preserve">, respectively, it being understood that, subject to the provisions of this Agreement, the Seller may select different Discount Rate Options to apply simultaneously to the Investments comprising different Portions of Investment and may convert to or renew one or more Discount Rate Options with respect to all or any portion of the Investments comprising different Portions of Investment;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t>
      </w:r>
      <w:r>
        <w:rPr>
          <w:rFonts w:ascii="Times New Roman" w:cs="Times New Roman" w:eastAsia="Times New Roman" w:hAnsi="Times New Roman"/>
          <w:sz w:val="17"/>
          <w:szCs w:val="17"/>
          <w:u w:val="single" w:color="auto"/>
          <w:color w:val="0000FF"/>
        </w:rPr>
        <w:t>(i)</w:t>
      </w:r>
      <w:r>
        <w:rPr>
          <w:rFonts w:ascii="Times New Roman" w:cs="Times New Roman" w:eastAsia="Times New Roman" w:hAnsi="Times New Roman"/>
          <w:sz w:val="17"/>
          <w:szCs w:val="17"/>
          <w:color w:val="auto"/>
        </w:rPr>
        <w:t xml:space="preserve"> there shall not be at any one time outstanding more than 5 (five) Portions of Investment</w:t>
      </w:r>
      <w:r>
        <w:rPr>
          <w:rFonts w:ascii="Times New Roman" w:cs="Times New Roman" w:eastAsia="Times New Roman" w:hAnsi="Times New Roman"/>
          <w:sz w:val="17"/>
          <w:szCs w:val="17"/>
          <w:color w:val="FF0000"/>
          <w:strike w:val="1"/>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and (ii)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Discount Rate for any CP Rate Investment shall at all times be determined pursuant to the definition of Discount Rate notwithstanding any otherwise applicable election by the Seller;</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u w:val="single" w:color="auto"/>
          <w:color w:val="000000"/>
        </w:rPr>
        <w:t>provided further</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that if an Termination Event or Unmatured Termination Event exists and is continuing, the Seller may</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not request, convert to or renew any Term Rate Investment Option or Daily Resetting SOFR Option for any Investments and the Majority Purchasers may demand that all existing Portions of Investment accruing Discount under a Term Rate Investment Option, Daily Resetting SOFR Option or Daily Simple SOFR shall be converted immediately to the Base Rate Option, subject to the obligation of the Seller to pay any Termination Fees in connection with such conversion. If at any time the designated rate applicable to any Investment made by any Purchaser exceeds such Purchaser’s highest lawful rate, the Discount Rate Option on such Purchaser’s Investments shall be limited to such Purchaser’s highest lawful rate. The applicable Base Rate, SOFR Rate, or Daily Resetting SOFR shall be determined by the Administrator, and such determination shall be conclusive absent manifest error.</w:t>
      </w:r>
    </w:p>
    <w:p>
      <w:pPr>
        <w:spacing w:after="0" w:line="67" w:lineRule="exact"/>
        <w:rPr>
          <w:rFonts w:ascii="Times New Roman" w:cs="Times New Roman" w:eastAsia="Times New Roman" w:hAnsi="Times New Roman"/>
          <w:sz w:val="17"/>
          <w:szCs w:val="17"/>
          <w:color w:val="auto"/>
        </w:rPr>
      </w:pPr>
    </w:p>
    <w:p>
      <w:pPr>
        <w:ind w:left="1080" w:hanging="221"/>
        <w:spacing w:after="0"/>
        <w:tabs>
          <w:tab w:leader="none" w:pos="10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Discount Rate Options</w:t>
      </w:r>
      <w:r>
        <w:rPr>
          <w:rFonts w:ascii="Times New Roman" w:cs="Times New Roman" w:eastAsia="Times New Roman" w:hAnsi="Times New Roman"/>
          <w:sz w:val="18"/>
          <w:szCs w:val="18"/>
          <w:color w:val="auto"/>
        </w:rPr>
        <w:t>. The Seller shall have the right to select from the following Discount Rate Options applicable to the Investments:</w:t>
      </w:r>
    </w:p>
    <w:p>
      <w:pPr>
        <w:spacing w:after="0" w:line="11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2"/>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Rate Investment Options:</w:t>
      </w:r>
    </w:p>
    <w:p>
      <w:pPr>
        <w:spacing w:after="0" w:line="117" w:lineRule="exact"/>
        <w:rPr>
          <w:rFonts w:ascii="Times New Roman" w:cs="Times New Roman" w:eastAsia="Times New Roman" w:hAnsi="Times New Roman"/>
          <w:sz w:val="18"/>
          <w:szCs w:val="18"/>
          <w:color w:val="auto"/>
        </w:rPr>
      </w:pPr>
    </w:p>
    <w:p>
      <w:pPr>
        <w:ind w:left="1980" w:right="180" w:hanging="1"/>
        <w:spacing w:after="0" w:line="282" w:lineRule="auto"/>
        <w:tabs>
          <w:tab w:leader="none" w:pos="2235" w:val="left"/>
        </w:tabs>
        <w:numPr>
          <w:ilvl w:val="3"/>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SOFR Rate Option</w:t>
      </w:r>
      <w:r>
        <w:rPr>
          <w:rFonts w:ascii="Times New Roman" w:cs="Times New Roman" w:eastAsia="Times New Roman" w:hAnsi="Times New Roman"/>
          <w:sz w:val="18"/>
          <w:szCs w:val="18"/>
          <w:color w:val="auto"/>
        </w:rPr>
        <w:t>. In the case of SOFR Rate Investments denominated in Dollars, a rate per annum (computed on the basis of a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-2277110</wp:posOffset>
            </wp:positionV>
            <wp:extent cx="155130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551305"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-1865630</wp:posOffset>
            </wp:positionV>
            <wp:extent cx="1371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-1865630</wp:posOffset>
            </wp:positionV>
            <wp:extent cx="50609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060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-1728470</wp:posOffset>
            </wp:positionV>
            <wp:extent cx="68148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-1591310</wp:posOffset>
            </wp:positionV>
            <wp:extent cx="149987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499870" cy="8890"/>
                    </a:xfrm>
                    <a:prstGeom prst="rect">
                      <a:avLst/>
                    </a:prstGeom>
                    <a:noFill/>
                  </pic:spPr>
                </pic:pic>
              </a:graphicData>
            </a:graphic>
          </wp:anchor>
        </w:drawing>
      </w:r>
    </w:p>
    <w:p>
      <w:pPr>
        <w:spacing w:after="0" w:line="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0"/>
          </w:cols>
          <w:pgMar w:left="440" w:top="270" w:right="499" w:bottom="1440" w:gutter="0" w:footer="0" w:header="0"/>
        </w:sectPr>
      </w:pPr>
    </w:p>
    <w:bookmarkStart w:id="174" w:name="page175"/>
    <w:bookmarkEnd w:id="174"/>
    <w:p>
      <w:pPr>
        <w:ind w:left="1960"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360 days and actual days elapsed) equal to the SOFR Rate as determined for each applicable Yield Period plus the SOFR Adjustment;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SOFR Rate Option, determined as provided above, would be less than the Floor, then the SOFR Rate Option shall be deemed to be the Floor.</w:t>
      </w:r>
    </w:p>
    <w:p>
      <w:pPr>
        <w:spacing w:after="0" w:line="68" w:lineRule="exact"/>
        <w:rPr>
          <w:sz w:val="20"/>
          <w:szCs w:val="20"/>
          <w:color w:val="auto"/>
        </w:rPr>
      </w:pPr>
    </w:p>
    <w:p>
      <w:pPr>
        <w:ind w:left="1660" w:hanging="292"/>
        <w:spacing w:after="0"/>
        <w:tabs>
          <w:tab w:leader="none" w:pos="1660" w:val="left"/>
        </w:tabs>
        <w:numPr>
          <w:ilvl w:val="2"/>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Rate Investment Options:</w:t>
      </w:r>
    </w:p>
    <w:p>
      <w:pPr>
        <w:spacing w:after="0" w:line="117" w:lineRule="exact"/>
        <w:rPr>
          <w:rFonts w:ascii="Times New Roman" w:cs="Times New Roman" w:eastAsia="Times New Roman" w:hAnsi="Times New Roman"/>
          <w:sz w:val="18"/>
          <w:szCs w:val="18"/>
          <w:color w:val="auto"/>
        </w:rPr>
      </w:pPr>
    </w:p>
    <w:p>
      <w:pPr>
        <w:ind w:left="2220" w:hanging="261"/>
        <w:spacing w:after="0"/>
        <w:tabs>
          <w:tab w:leader="none" w:pos="2220" w:val="left"/>
        </w:tabs>
        <w:numPr>
          <w:ilvl w:val="3"/>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 or</w:t>
      </w:r>
    </w:p>
    <w:p>
      <w:pPr>
        <w:spacing w:after="0" w:line="117" w:lineRule="exact"/>
        <w:rPr>
          <w:rFonts w:ascii="Times New Roman" w:cs="Times New Roman" w:eastAsia="Times New Roman" w:hAnsi="Times New Roman"/>
          <w:sz w:val="18"/>
          <w:szCs w:val="18"/>
          <w:color w:val="auto"/>
        </w:rPr>
      </w:pPr>
    </w:p>
    <w:p>
      <w:pPr>
        <w:ind w:left="1960" w:right="20" w:hanging="1"/>
        <w:spacing w:after="0" w:line="258" w:lineRule="auto"/>
        <w:tabs>
          <w:tab w:leader="none" w:pos="2215" w:val="left"/>
        </w:tabs>
        <w:numPr>
          <w:ilvl w:val="3"/>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Daily Resetting SOFR Option</w:t>
      </w:r>
      <w:r>
        <w:rPr>
          <w:rFonts w:ascii="Times New Roman" w:cs="Times New Roman" w:eastAsia="Times New Roman" w:hAnsi="Times New Roman"/>
          <w:sz w:val="18"/>
          <w:szCs w:val="18"/>
          <w:color w:val="auto"/>
        </w:rPr>
        <w:t xml:space="preserve">. In the case of Daily Resetting SOFR Investments denominated in Dollars, a fluctuating rate per annum (computed on the basis of a year of 360 days and actual days elapsed) equal to Daily Resetting SOFR plus the SOFR Adjustment, such discount rate to change automatically from time to time effective as of the effective date of each change in Daily Resetting SOFR;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Daily Resetting SOFR Option, determined as provided above, would be less than the Floor, then the Daily Resetting SOFR Option shall be deemed to be the Floor; or</w:t>
      </w:r>
    </w:p>
    <w:p>
      <w:pPr>
        <w:spacing w:after="0" w:line="75" w:lineRule="exact"/>
        <w:rPr>
          <w:rFonts w:ascii="Times New Roman" w:cs="Times New Roman" w:eastAsia="Times New Roman" w:hAnsi="Times New Roman"/>
          <w:sz w:val="18"/>
          <w:szCs w:val="18"/>
          <w:color w:val="auto"/>
        </w:rPr>
      </w:pPr>
    </w:p>
    <w:p>
      <w:pPr>
        <w:jc w:val="both"/>
        <w:ind w:left="1960" w:right="80" w:hanging="1"/>
        <w:spacing w:after="0" w:line="289" w:lineRule="auto"/>
        <w:tabs>
          <w:tab w:leader="none" w:pos="2215" w:val="left"/>
        </w:tabs>
        <w:numPr>
          <w:ilvl w:val="3"/>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Base Rate Option</w:t>
      </w:r>
      <w:r>
        <w:rPr>
          <w:rFonts w:ascii="Times New Roman" w:cs="Times New Roman" w:eastAsia="Times New Roman" w:hAnsi="Times New Roman"/>
          <w:sz w:val="17"/>
          <w:szCs w:val="17"/>
          <w:color w:val="auto"/>
        </w:rPr>
        <w:t>. In the case of Base Rate Investments denominated in Dollars, a fluctuating rate per annum (computed on the basis of a year of 365 or 366 days, as the case may be, and actual days elapsed) equal to the Base Rate, such discount rate to change automatically from time to time effective as of the effective date of each change in the Base Rate; or</w:t>
      </w:r>
    </w:p>
    <w:p>
      <w:pPr>
        <w:spacing w:after="0" w:line="49" w:lineRule="exact"/>
        <w:rPr>
          <w:rFonts w:ascii="Times New Roman" w:cs="Times New Roman" w:eastAsia="Times New Roman" w:hAnsi="Times New Roman"/>
          <w:sz w:val="17"/>
          <w:szCs w:val="17"/>
          <w:color w:val="auto"/>
        </w:rPr>
      </w:pPr>
    </w:p>
    <w:p>
      <w:pPr>
        <w:ind w:left="420" w:right="40" w:firstLine="419"/>
        <w:spacing w:after="0" w:line="266" w:lineRule="auto"/>
        <w:tabs>
          <w:tab w:leader="none" w:pos="1108"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Rate Quotations</w:t>
      </w:r>
      <w:r>
        <w:rPr>
          <w:rFonts w:ascii="Times New Roman" w:cs="Times New Roman" w:eastAsia="Times New Roman" w:hAnsi="Times New Roman"/>
          <w:sz w:val="18"/>
          <w:szCs w:val="18"/>
          <w:color w:val="auto"/>
        </w:rPr>
        <w:t>. The Seller may call the Administrator on or before the date on which a Purchase Notice is to be delivered to receive an indication of the rates then in effect, but it is acknowledged that such projection shall not be binding on the Administrator or the Purchasers nor affect the rate of discount which thereafter is actually in effect when the election is made.</w:t>
      </w:r>
    </w:p>
    <w:p>
      <w:pPr>
        <w:spacing w:after="0" w:line="67" w:lineRule="exact"/>
        <w:rPr>
          <w:rFonts w:ascii="Times New Roman" w:cs="Times New Roman" w:eastAsia="Times New Roman" w:hAnsi="Times New Roman"/>
          <w:sz w:val="18"/>
          <w:szCs w:val="18"/>
          <w:color w:val="auto"/>
        </w:rPr>
      </w:pPr>
    </w:p>
    <w:p>
      <w:pPr>
        <w:ind w:left="-20" w:right="40" w:firstLine="987"/>
        <w:spacing w:after="0" w:line="266" w:lineRule="auto"/>
        <w:tabs>
          <w:tab w:leader="none" w:pos="1226"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Yield Periods</w:t>
      </w:r>
      <w:r>
        <w:rPr>
          <w:rFonts w:ascii="Times New Roman" w:cs="Times New Roman" w:eastAsia="Times New Roman" w:hAnsi="Times New Roman"/>
          <w:sz w:val="18"/>
          <w:szCs w:val="18"/>
          <w:color w:val="auto"/>
        </w:rPr>
        <w:t>. At any time when the Seller shall select, convert to or renew a Term Rate Investment Option, the Seller shall notify the Administrator thereof by delivering a request therefor prior to the effective date. Notwithstanding the preceding sentence, the following provisions shall apply to any selection of, renewal of, or conversion to a Term Rate Investment Option:</w:t>
      </w:r>
    </w:p>
    <w:p>
      <w:pPr>
        <w:spacing w:after="0" w:line="68" w:lineRule="exact"/>
        <w:rPr>
          <w:sz w:val="20"/>
          <w:szCs w:val="20"/>
          <w:color w:val="auto"/>
        </w:rPr>
      </w:pPr>
    </w:p>
    <w:p>
      <w:pPr>
        <w:ind w:left="420" w:right="520" w:firstLine="419"/>
        <w:spacing w:after="0" w:line="282" w:lineRule="auto"/>
        <w:tabs>
          <w:tab w:leader="none" w:pos="1058"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Amount of Portions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Capital</w:t>
      </w:r>
      <w:r>
        <w:rPr>
          <w:rFonts w:ascii="Times New Roman" w:cs="Times New Roman" w:eastAsia="Times New Roman" w:hAnsi="Times New Roman"/>
          <w:sz w:val="18"/>
          <w:szCs w:val="18"/>
          <w:u w:val="single" w:color="auto"/>
          <w:color w:val="0000FF"/>
        </w:rPr>
        <w:t>Investment</w:t>
      </w:r>
      <w:r>
        <w:rPr>
          <w:rFonts w:ascii="Times New Roman" w:cs="Times New Roman" w:eastAsia="Times New Roman" w:hAnsi="Times New Roman"/>
          <w:sz w:val="18"/>
          <w:szCs w:val="18"/>
          <w:color w:val="auto"/>
        </w:rPr>
        <w:t xml:space="preserve"> . Each Portion of Investment under the Term Rate Investment Option shall be in integral multiples of, and not less than, the respective amounts specified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and</w:t>
      </w:r>
    </w:p>
    <w:p>
      <w:pPr>
        <w:spacing w:after="0" w:line="53" w:lineRule="exact"/>
        <w:rPr>
          <w:rFonts w:ascii="Times New Roman" w:cs="Times New Roman" w:eastAsia="Times New Roman" w:hAnsi="Times New Roman"/>
          <w:sz w:val="18"/>
          <w:szCs w:val="18"/>
          <w:color w:val="auto"/>
        </w:rPr>
      </w:pPr>
    </w:p>
    <w:p>
      <w:pPr>
        <w:ind w:left="420" w:firstLine="419"/>
        <w:spacing w:after="0" w:line="282" w:lineRule="auto"/>
        <w:tabs>
          <w:tab w:leader="none" w:pos="1108"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Renewals</w:t>
      </w:r>
      <w:r>
        <w:rPr>
          <w:rFonts w:ascii="Times New Roman" w:cs="Times New Roman" w:eastAsia="Times New Roman" w:hAnsi="Times New Roman"/>
          <w:sz w:val="18"/>
          <w:szCs w:val="18"/>
          <w:color w:val="auto"/>
        </w:rPr>
        <w:t>. In the case of the renewal of a Term Rate Investment Option at the end of a Yield Period, the first day of the new Yield Period shall be the last day of the preceding Yield Period, without duplication in payment of discount for such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2059305</wp:posOffset>
            </wp:positionH>
            <wp:positionV relativeFrom="paragraph">
              <wp:posOffset>-494030</wp:posOffset>
            </wp:positionV>
            <wp:extent cx="5054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05460" cy="8255"/>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60"/>
          </w:cols>
          <w:pgMar w:left="460" w:top="270" w:right="479" w:bottom="1440" w:gutter="0" w:footer="0" w:header="0"/>
        </w:sectPr>
      </w:pPr>
    </w:p>
    <w:bookmarkStart w:id="175" w:name="page176"/>
    <w:bookmarkEnd w:id="175"/>
    <w:p>
      <w:pPr>
        <w:ind w:right="340" w:firstLine="987"/>
        <w:spacing w:after="0" w:line="266" w:lineRule="auto"/>
        <w:tabs>
          <w:tab w:leader="none" w:pos="1236"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Discount After Default</w:t>
      </w:r>
      <w:r>
        <w:rPr>
          <w:rFonts w:ascii="Times New Roman" w:cs="Times New Roman" w:eastAsia="Times New Roman" w:hAnsi="Times New Roman"/>
          <w:sz w:val="18"/>
          <w:szCs w:val="18"/>
          <w:color w:val="auto"/>
        </w:rPr>
        <w:t>. To the extent permitted by Law, upon the occurrence of Termination Event and until such time such Termination Event shall have been cured or waived, at the discretion of the Administrator or upon written demand by the Majority Purchasers to the Administrator:</w:t>
      </w:r>
    </w:p>
    <w:p>
      <w:pPr>
        <w:spacing w:after="0" w:line="6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Discount Rate</w:t>
      </w:r>
      <w:r>
        <w:rPr>
          <w:rFonts w:ascii="Times New Roman" w:cs="Times New Roman" w:eastAsia="Times New Roman" w:hAnsi="Times New Roman"/>
          <w:sz w:val="18"/>
          <w:szCs w:val="18"/>
          <w:color w:val="auto"/>
        </w:rPr>
        <w:t xml:space="preserve">. The Discount for each Investment otherwise applicable pursuant to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 shall be increased by 2.00% per</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annum;</w:t>
      </w:r>
    </w:p>
    <w:p>
      <w:pPr>
        <w:spacing w:after="0" w:line="98"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128"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Obligations</w:t>
      </w:r>
      <w:r>
        <w:rPr>
          <w:rFonts w:ascii="Times New Roman" w:cs="Times New Roman" w:eastAsia="Times New Roman" w:hAnsi="Times New Roman"/>
          <w:sz w:val="18"/>
          <w:szCs w:val="18"/>
          <w:color w:val="auto"/>
        </w:rPr>
        <w:t>. Each other obligation hereunder if not paid when due shall bear interest at a rate per annum equal to the sum of the rate of interest applicable to Investments under the Base Rate Option plus an additional 2.00% per annum from the time such obligation becomes due and payable until the time such obligation is paid in full; and</w:t>
      </w:r>
    </w:p>
    <w:p>
      <w:pPr>
        <w:spacing w:after="0" w:line="67"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178"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w:t>
      </w:r>
      <w:r>
        <w:rPr>
          <w:rFonts w:ascii="Times New Roman" w:cs="Times New Roman" w:eastAsia="Times New Roman" w:hAnsi="Times New Roman"/>
          <w:sz w:val="18"/>
          <w:szCs w:val="18"/>
          <w:color w:val="auto"/>
        </w:rPr>
        <w:t xml:space="preserve">. The Seller acknowledges that the increase in rates referred to in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reflects, among other things, the fact that such Investments or other amounts have become a substantially greater risk given their default status and that the Purchasers are entitled to additional compensation for such risk; and all such Discount shall be payable by Seller upon demand by Administrator.</w:t>
      </w:r>
    </w:p>
    <w:p>
      <w:pPr>
        <w:spacing w:after="0" w:line="6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Unascertainable; Increased Costs; Deposits Not Available</w:t>
      </w:r>
      <w:r>
        <w:rPr>
          <w:rFonts w:ascii="Times New Roman" w:cs="Times New Roman" w:eastAsia="Times New Roman" w:hAnsi="Times New Roman"/>
          <w:sz w:val="18"/>
          <w:szCs w:val="18"/>
          <w:color w:val="auto"/>
        </w:rPr>
        <w:t>. If at any time:</w:t>
      </w:r>
    </w:p>
    <w:p>
      <w:pPr>
        <w:spacing w:after="0" w:line="117" w:lineRule="exact"/>
        <w:rPr>
          <w:sz w:val="20"/>
          <w:szCs w:val="20"/>
          <w:color w:val="auto"/>
        </w:rPr>
      </w:pPr>
    </w:p>
    <w:p>
      <w:pPr>
        <w:ind w:left="440" w:right="60" w:firstLine="419"/>
        <w:spacing w:after="0" w:line="258" w:lineRule="auto"/>
        <w:tabs>
          <w:tab w:leader="none" w:pos="1078"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first day of a Yield Period, the Administrator shall have determined (which determination shall be conclusive and binding absent manifest error) that (x) the SOFR Rate or Daily Resetting SOFR applicable to an Investment cannot be determined pursuant to the definition thereof, including, without limitation, because such rate is not available or published on a current basis or (y) a fundamental change has occurred with respect to such rate (including, without limitation, changes in national or international financial, political or economic conditions or currency exchange rates or exchange controls), or</w:t>
      </w:r>
    </w:p>
    <w:p>
      <w:pPr>
        <w:spacing w:after="0" w:line="75" w:lineRule="exact"/>
        <w:rPr>
          <w:rFonts w:ascii="Times New Roman" w:cs="Times New Roman" w:eastAsia="Times New Roman" w:hAnsi="Times New Roman"/>
          <w:sz w:val="18"/>
          <w:szCs w:val="18"/>
          <w:color w:val="auto"/>
        </w:rPr>
      </w:pPr>
    </w:p>
    <w:p>
      <w:pPr>
        <w:jc w:val="both"/>
        <w:ind w:left="440" w:firstLine="419"/>
        <w:spacing w:after="0" w:line="261" w:lineRule="auto"/>
        <w:tabs>
          <w:tab w:leader="none" w:pos="1128"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first day of a Yield Period, any Purchaser determines that for any reason in connection with any request for a Term Rate Investment or a conversion thereto or a continuation thereof that the Term Rate Investment Option for any requested Yield Period with respect to a proposed Term Rate Investment, as applicable, does not adequately and fairly reflect the cost to such Purchasers of funding, establishing or maintaining such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then the Administrator shall have the rights specified in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8" w:lineRule="auto"/>
        <w:tabs>
          <w:tab w:leader="none" w:pos="1236"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Illegality</w:t>
      </w:r>
      <w:r>
        <w:rPr>
          <w:rFonts w:ascii="Times New Roman" w:cs="Times New Roman" w:eastAsia="Times New Roman" w:hAnsi="Times New Roman"/>
          <w:sz w:val="18"/>
          <w:szCs w:val="18"/>
          <w:color w:val="auto"/>
        </w:rPr>
        <w:t>. If at any time any Purchaser shall have determined, or any Governmental Authority shall have asserted, that the making, maintenance or funding of any Investment to which any Discount Rate Option applies, or the determination or charging of discount rates based upon any Discount Rate Option has been made impracticable or unlawful, by compliance by such Purchaser in good faith with any Law or any interpretation or application thereof by any Governmental Authority or with any request or directive of any such Governmental Authority (whether or not having the force of Law),</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then the Administrator shall have the rights specified in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firstLine="987"/>
        <w:spacing w:after="0" w:line="261" w:lineRule="auto"/>
        <w:tabs>
          <w:tab w:leader="none" w:pos="1216"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Administrator’s and Purchaser’s Rights</w:t>
      </w:r>
      <w:r>
        <w:rPr>
          <w:rFonts w:ascii="Times New Roman" w:cs="Times New Roman" w:eastAsia="Times New Roman" w:hAnsi="Times New Roman"/>
          <w:sz w:val="18"/>
          <w:szCs w:val="18"/>
          <w:color w:val="auto"/>
        </w:rPr>
        <w:t xml:space="preserve">. In the case of any event specified in </w:t>
      </w:r>
      <w:r>
        <w:rPr>
          <w:rFonts w:ascii="Times New Roman" w:cs="Times New Roman" w:eastAsia="Times New Roman" w:hAnsi="Times New Roman"/>
          <w:sz w:val="18"/>
          <w:szCs w:val="18"/>
          <w:u w:val="single" w:color="auto"/>
          <w:color w:val="auto"/>
        </w:rPr>
        <w:t>Section 1.12(d)(i)</w:t>
      </w:r>
      <w:r>
        <w:rPr>
          <w:rFonts w:ascii="Times New Roman" w:cs="Times New Roman" w:eastAsia="Times New Roman" w:hAnsi="Times New Roman"/>
          <w:sz w:val="18"/>
          <w:szCs w:val="18"/>
          <w:color w:val="auto"/>
        </w:rPr>
        <w:t xml:space="preserve"> above, the Administrator shall promptly so notify the Purchasers and the Seller thereof, and in the case of an event specified in </w:t>
      </w:r>
      <w:r>
        <w:rPr>
          <w:rFonts w:ascii="Times New Roman" w:cs="Times New Roman" w:eastAsia="Times New Roman" w:hAnsi="Times New Roman"/>
          <w:sz w:val="18"/>
          <w:szCs w:val="18"/>
          <w:u w:val="single" w:color="auto"/>
          <w:color w:val="auto"/>
        </w:rPr>
        <w:t>Section 1.12(d)(ii)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above, such Purchaser shall promptly so notify the Administrator and endorse a certificate to such notice as to the specific circumstances of such notice, and the Administrator shall promptly send copies of such notice and certificate to the other Purchasers and the Seller.</w:t>
      </w:r>
    </w:p>
    <w:p>
      <w:pPr>
        <w:spacing w:after="0" w:line="71" w:lineRule="exact"/>
        <w:rPr>
          <w:rFonts w:ascii="Times New Roman" w:cs="Times New Roman" w:eastAsia="Times New Roman" w:hAnsi="Times New Roman"/>
          <w:sz w:val="18"/>
          <w:szCs w:val="18"/>
          <w:color w:val="auto"/>
        </w:rPr>
      </w:pPr>
    </w:p>
    <w:p>
      <w:pPr>
        <w:ind w:left="440" w:right="20" w:firstLine="419"/>
        <w:spacing w:after="0" w:line="256" w:lineRule="auto"/>
        <w:tabs>
          <w:tab w:leader="none" w:pos="1078"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such date as shall be specified in such notice (which shall not be earlier than the date such notice is given), the obligation of (x) the Purchasers, in the case of such notice given by the Administrator, or (y) such Purchaser, in the case of such notice given by such Purchaser, to allow the Seller to select, convert to or renew an Investment under the affected Discount Rate Option shall be suspended (to the extent of the affected Discount Rate Option or the applicable Yield Periods) until the Administrator shall have later notified the Seller, or such Purchaser shall have later notified the Administrator, of the Administrator’s or such Purchaser’s, as the case may be, determination that the circumstances giving rise to such previous determination no longer exist.</w:t>
      </w:r>
    </w:p>
    <w:p>
      <w:pPr>
        <w:spacing w:after="0" w:line="79" w:lineRule="exact"/>
        <w:rPr>
          <w:rFonts w:ascii="Times New Roman" w:cs="Times New Roman" w:eastAsia="Times New Roman" w:hAnsi="Times New Roman"/>
          <w:sz w:val="18"/>
          <w:szCs w:val="18"/>
          <w:color w:val="auto"/>
        </w:rPr>
      </w:pPr>
    </w:p>
    <w:p>
      <w:pPr>
        <w:ind w:left="440" w:firstLine="419"/>
        <w:spacing w:after="0" w:line="256" w:lineRule="auto"/>
        <w:tabs>
          <w:tab w:leader="none" w:pos="1128"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the Administrator makes a determination under </w:t>
      </w:r>
      <w:r>
        <w:rPr>
          <w:rFonts w:ascii="Times New Roman" w:cs="Times New Roman" w:eastAsia="Times New Roman" w:hAnsi="Times New Roman"/>
          <w:sz w:val="18"/>
          <w:szCs w:val="18"/>
          <w:u w:val="single" w:color="auto"/>
          <w:color w:val="auto"/>
        </w:rPr>
        <w:t>clause (d)(i)</w:t>
      </w:r>
      <w:r>
        <w:rPr>
          <w:rFonts w:ascii="Times New Roman" w:cs="Times New Roman" w:eastAsia="Times New Roman" w:hAnsi="Times New Roman"/>
          <w:sz w:val="18"/>
          <w:szCs w:val="18"/>
          <w:color w:val="auto"/>
        </w:rPr>
        <w:t>, (x) if the Seller has previously notified the Administrator of its selection of, conversion to or renewal of a an affected Discount Rate Option, and such Discount Rate Option has not yet gone into effect, absent due notice from the Seller of revocation, conversion or prepayment, such notification shall be deemed to provide for selection of, conversion to or renewal of the Base Rate Option otherwise available with respect to such Investments in the amount specified therein and (y) any outstanding affected Investments shall be deemed to have been converted into Base Rate Investments immediately or, in the case of Term Rate Investments, at the end of the applicable Yield Period.</w:t>
      </w:r>
    </w:p>
    <w:p>
      <w:pPr>
        <w:spacing w:after="0" w:line="79" w:lineRule="exact"/>
        <w:rPr>
          <w:rFonts w:ascii="Times New Roman" w:cs="Times New Roman" w:eastAsia="Times New Roman" w:hAnsi="Times New Roman"/>
          <w:sz w:val="18"/>
          <w:szCs w:val="18"/>
          <w:color w:val="auto"/>
        </w:rPr>
      </w:pPr>
    </w:p>
    <w:p>
      <w:pPr>
        <w:ind w:left="440" w:right="240" w:firstLine="419"/>
        <w:spacing w:after="0" w:line="258" w:lineRule="auto"/>
        <w:tabs>
          <w:tab w:leader="none" w:pos="1178"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Purchaser notifies the Administrator of a determination under </w:t>
      </w:r>
      <w:r>
        <w:rPr>
          <w:rFonts w:ascii="Times New Roman" w:cs="Times New Roman" w:eastAsia="Times New Roman" w:hAnsi="Times New Roman"/>
          <w:sz w:val="18"/>
          <w:szCs w:val="18"/>
          <w:u w:val="single" w:color="auto"/>
          <w:color w:val="auto"/>
        </w:rPr>
        <w:t>clause(d)(ii)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the Seller shall, subject to the Seller’s obligation to pay any Termination Fees, as to any Investment of the Purchaser to which an affected Discount Rate Option applies, on the date specified in such notice either convert such Investment to the Base Rate Option otherwise available with respect to such Investment or prepay such Investment. Absent due notice from the Seller of conversion or prepayment, such Investment shall automatically be converted to the Base Rate Option otherwise available with respect to such Investment upon such specified date.</w:t>
      </w:r>
    </w:p>
    <w:p>
      <w:pPr>
        <w:spacing w:after="0" w:line="75" w:lineRule="exact"/>
        <w:rPr>
          <w:sz w:val="20"/>
          <w:szCs w:val="20"/>
          <w:color w:val="auto"/>
        </w:rPr>
      </w:pPr>
    </w:p>
    <w:p>
      <w:pPr>
        <w:ind w:left="1120" w:hanging="261"/>
        <w:spacing w:after="0"/>
        <w:tabs>
          <w:tab w:leader="none" w:pos="112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 Setting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440" w:right="80" w:firstLine="419"/>
        <w:spacing w:after="0" w:line="261" w:lineRule="auto"/>
        <w:tabs>
          <w:tab w:leader="none" w:pos="1158"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xml:space="preserve">. Notwithstanding anything to the contrary herein or in any other Transaction Document, if a Benchmark Transition Event has occurred prior to the Reference Time in respect of any setting of the then-current Benchmark, then (x) if a Benchmark Replacement is determined in accordance with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of the definition of “Benchmark Replacement” for such Benchmark Replacement Date, such Benchmark Replacement will replace such Benchmark for all</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0"/>
          </w:cols>
          <w:pgMar w:left="440" w:top="270" w:right="499" w:bottom="1440" w:gutter="0" w:footer="0" w:header="0"/>
        </w:sectPr>
      </w:pPr>
    </w:p>
    <w:bookmarkStart w:id="177" w:name="page178"/>
    <w:bookmarkEnd w:id="177"/>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purposes hereunder and under any Transaction Document in respect of such Benchmark setting and subsequent Benchmark settings without any amendment to, or further action or consent of any other party to, this Agreement or any other Transaction Document and (y) if a Benchmark Replacement is determined in accordance with </w:t>
      </w:r>
      <w:r>
        <w:rPr>
          <w:rFonts w:ascii="Times New Roman" w:cs="Times New Roman" w:eastAsia="Times New Roman" w:hAnsi="Times New Roman"/>
          <w:sz w:val="18"/>
          <w:szCs w:val="18"/>
          <w:u w:val="single" w:color="auto"/>
          <w:color w:val="auto"/>
        </w:rPr>
        <w:t>clause (2)</w:t>
      </w:r>
      <w:r>
        <w:rPr>
          <w:rFonts w:ascii="Times New Roman" w:cs="Times New Roman" w:eastAsia="Times New Roman" w:hAnsi="Times New Roman"/>
          <w:sz w:val="18"/>
          <w:szCs w:val="18"/>
          <w:color w:val="auto"/>
        </w:rPr>
        <w:t xml:space="preserve"> of the definition of “Benchmark Replacement” for such Benchmark Replacement Date, such Benchmark Replacement will replace such Benchmark for all purposes hereunder and under any Transaction Document in respect of any Benchmark setting at or after 5:00 p.m. (New York City time) on the fifth (5th) Business Day after the date notice of such Benchmark Replacement is provided to the Purchasers and Seller without any amendment to, or further action or consent of any other party to, this Agreement or any other Transaction Document so long as the Administrator has not received, by such time, written notice of objection to such Benchmark Replacement from Purchasers comprising the Majority Purchasers.</w:t>
      </w:r>
    </w:p>
    <w:p>
      <w:pPr>
        <w:spacing w:after="0" w:line="84" w:lineRule="exact"/>
        <w:rPr>
          <w:sz w:val="20"/>
          <w:szCs w:val="20"/>
          <w:color w:val="auto"/>
        </w:rPr>
      </w:pPr>
    </w:p>
    <w:p>
      <w:pPr>
        <w:ind w:left="4" w:right="40" w:firstLine="419"/>
        <w:spacing w:after="0" w:line="261" w:lineRule="auto"/>
        <w:tabs>
          <w:tab w:leader="none" w:pos="711"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In connection with the implementation and administration of a Benchmark Replacement, the Administrator will have the right, in consultation with the Seller, to make Conforming Changes from time to time and, notwithstanding anything to the contrary herein or in any other Transaction Document, any amendments implementing such Conforming Changes will become effective without any further action or consent of any other party to this Agreement or any other Transaction Document.</w:t>
      </w:r>
    </w:p>
    <w:p>
      <w:pPr>
        <w:spacing w:after="0" w:line="71" w:lineRule="exact"/>
        <w:rPr>
          <w:rFonts w:ascii="Times New Roman" w:cs="Times New Roman" w:eastAsia="Times New Roman" w:hAnsi="Times New Roman"/>
          <w:sz w:val="18"/>
          <w:szCs w:val="18"/>
          <w:color w:val="auto"/>
        </w:rPr>
      </w:pPr>
    </w:p>
    <w:p>
      <w:pPr>
        <w:ind w:left="4" w:firstLine="419"/>
        <w:spacing w:after="0" w:line="254" w:lineRule="auto"/>
        <w:tabs>
          <w:tab w:leader="none" w:pos="711"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Standards for Decisions and Determinations</w:t>
      </w:r>
      <w:r>
        <w:rPr>
          <w:rFonts w:ascii="Times New Roman" w:cs="Times New Roman" w:eastAsia="Times New Roman" w:hAnsi="Times New Roman"/>
          <w:sz w:val="18"/>
          <w:szCs w:val="18"/>
          <w:color w:val="auto"/>
        </w:rPr>
        <w:t xml:space="preserve">. The Administrator will promptly notify the Seller and the Purchasers of (1) any occurrence of a Benchmark Transition Event and its related Benchmark Replacement Date, (2) the implementation of any Benchmark Replacement, (3) the effectiveness of any Conforming Changes, (4) the removal or reinstatement of any tenor of a Benchmark pursuant to </w:t>
      </w:r>
      <w:r>
        <w:rPr>
          <w:rFonts w:ascii="Times New Roman" w:cs="Times New Roman" w:eastAsia="Times New Roman" w:hAnsi="Times New Roman"/>
          <w:sz w:val="18"/>
          <w:szCs w:val="18"/>
          <w:u w:val="single" w:color="auto"/>
          <w:color w:val="auto"/>
        </w:rPr>
        <w:t>paragraph (D)</w:t>
      </w:r>
      <w:r>
        <w:rPr>
          <w:rFonts w:ascii="Times New Roman" w:cs="Times New Roman" w:eastAsia="Times New Roman" w:hAnsi="Times New Roman"/>
          <w:sz w:val="18"/>
          <w:szCs w:val="18"/>
          <w:color w:val="auto"/>
        </w:rPr>
        <w:t xml:space="preserve"> below and (5) the commencement or conclusion of any Benchmark Unavailability Period. Any determination, decision or election that may be made by the Administrator or, if applicable, any Purchaser (or Purchaser Group) pursuant to this Section,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Transaction Document except, in each case, as expressly required pursuant to this Section.</w:t>
      </w:r>
    </w:p>
    <w:p>
      <w:pPr>
        <w:spacing w:after="0" w:line="80" w:lineRule="exact"/>
        <w:rPr>
          <w:rFonts w:ascii="Times New Roman" w:cs="Times New Roman" w:eastAsia="Times New Roman" w:hAnsi="Times New Roman"/>
          <w:sz w:val="18"/>
          <w:szCs w:val="18"/>
          <w:color w:val="auto"/>
        </w:rPr>
      </w:pPr>
    </w:p>
    <w:p>
      <w:pPr>
        <w:jc w:val="both"/>
        <w:ind w:left="4" w:right="180" w:firstLine="419"/>
        <w:spacing w:after="0" w:line="276" w:lineRule="auto"/>
        <w:tabs>
          <w:tab w:leader="none" w:pos="721" w:val="left"/>
        </w:tabs>
        <w:numPr>
          <w:ilvl w:val="1"/>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Unavailability of Tenor of Benchmark</w:t>
      </w:r>
      <w:r>
        <w:rPr>
          <w:rFonts w:ascii="Times New Roman" w:cs="Times New Roman" w:eastAsia="Times New Roman" w:hAnsi="Times New Roman"/>
          <w:sz w:val="17"/>
          <w:szCs w:val="17"/>
          <w:color w:val="auto"/>
        </w:rPr>
        <w:t>. Notwithstanding anything to the contrary herein or in any other Transaction Document, at any time (including in connection with the implementation of a Benchmark Replacement), (i) if the then-current Benchmark is a term rate and either</w:t>
      </w:r>
    </w:p>
    <w:p>
      <w:pPr>
        <w:jc w:val="both"/>
        <w:ind w:left="4" w:right="180" w:hanging="4"/>
        <w:spacing w:after="0" w:line="273" w:lineRule="auto"/>
        <w:tabs>
          <w:tab w:leader="none" w:pos="258"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tenor for such Benchmark is not displayed on a screen or other information service that publishes such rate from time to time as selected by the Administrator in its reasonable discretion or (2) the administrator of such Benchmark or the regulatory supervisor for the administrator of such Benchmark has provided a public statement or publication of information announcing that any tenor for such Benchmark is or will be no longer be representative or in compliance with or aligned with the International Organization of Securities Commissions (IOSCO)</w:t>
      </w:r>
    </w:p>
    <w:p>
      <w:pPr>
        <w:spacing w:after="0" w:line="105"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64"/>
          </w:cols>
          <w:pgMar w:left="876" w:top="270" w:right="459" w:bottom="1440" w:gutter="0" w:footer="0" w:header="0"/>
        </w:sectPr>
      </w:pPr>
    </w:p>
    <w:bookmarkStart w:id="178" w:name="page179"/>
    <w:bookmarkEnd w:id="178"/>
    <w:p>
      <w:pPr>
        <w:ind w:left="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Principles for Financial Benchmarks, then the Administrator may modify the definition of “Yield Period” (or any similar or analogous definition) for any Benchmark settings at or after such time to remove such unavailable or non-representative, non-compliant or non-aligned tenor and (ii) if a tenor that was removed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either (1) is subsequently displayed on a screen or information service for a Benchmark (including a Benchmark Replacement) or (2) is not, or is no longer, subject to an announcement that it is or will no longer be representative or in compliance with or aligned with the International Organization of Securities Commissions (IOSCO) Principles for Financial Benchmarks for a Benchmark (including a Benchmark Replacement), then the Administrator may modify the definition of “Yield Period” (or any similar or analogous definition) for all Benchmark settings at or after such time to reinstate such previously removed tenor.</w:t>
      </w:r>
    </w:p>
    <w:p>
      <w:pPr>
        <w:spacing w:after="0" w:line="81" w:lineRule="exact"/>
        <w:rPr>
          <w:sz w:val="20"/>
          <w:szCs w:val="20"/>
          <w:color w:val="auto"/>
        </w:rPr>
      </w:pPr>
    </w:p>
    <w:p>
      <w:pPr>
        <w:ind w:left="440" w:right="60" w:firstLine="419"/>
        <w:spacing w:after="0" w:line="255" w:lineRule="auto"/>
        <w:tabs>
          <w:tab w:leader="none" w:pos="1138"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Upon the Seller’s receipt of notice of the commencement of a Benchmark Unavailability Period, the Seller may revoke any request for an Investment accruing Discount based on the SOFR Rate, conversion to or continuation of Investments accruing Discount based on the SOFR Rate Option to be made, converted or continued during any Benchmark Unavailability Period and, failing that, the Seller will be deemed to have converted any such request into a request for an Investment of or conversion to Investments accruing Discount under the Base Rate Option.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296"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Section:</w:t>
      </w:r>
    </w:p>
    <w:p>
      <w:pPr>
        <w:spacing w:after="0" w:line="117"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means, as of any date of determination and with respect to the then-current Benchmark, as applicable, (x) if the then-current Benchmark is a term rate, any tenor for such Benchmark that is or may be used for determining the length of a Yield Period or (y) otherwise, any payment period for discount calculated with reference to such Benchmark, as applicable, pursuant to this Agreement as of such date.</w:t>
      </w:r>
    </w:p>
    <w:p>
      <w:pPr>
        <w:spacing w:after="0" w:line="176" w:lineRule="exact"/>
        <w:rPr>
          <w:sz w:val="20"/>
          <w:szCs w:val="20"/>
          <w:color w:val="auto"/>
        </w:rPr>
      </w:pPr>
    </w:p>
    <w:p>
      <w:pPr>
        <w:jc w:val="both"/>
        <w:ind w:right="8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Benchmark</w:t>
      </w:r>
      <w:r>
        <w:rPr>
          <w:rFonts w:ascii="Times New Roman" w:cs="Times New Roman" w:eastAsia="Times New Roman" w:hAnsi="Times New Roman"/>
          <w:sz w:val="17"/>
          <w:szCs w:val="17"/>
          <w:color w:val="auto"/>
        </w:rPr>
        <w:t xml:space="preserve">” means, initially, the SOFR Rate and Daily Resetting SOFR;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a replacement of the Benchmark has occurred pursuant to this </w:t>
      </w:r>
      <w:r>
        <w:rPr>
          <w:rFonts w:ascii="Times New Roman" w:cs="Times New Roman" w:eastAsia="Times New Roman" w:hAnsi="Times New Roman"/>
          <w:sz w:val="17"/>
          <w:szCs w:val="17"/>
          <w:u w:val="single" w:color="auto"/>
          <w:color w:val="auto"/>
        </w:rPr>
        <w:t>Section 1.12(g)</w:t>
      </w:r>
      <w:r>
        <w:rPr>
          <w:rFonts w:ascii="Times New Roman" w:cs="Times New Roman" w:eastAsia="Times New Roman" w:hAnsi="Times New Roman"/>
          <w:sz w:val="17"/>
          <w:szCs w:val="17"/>
          <w:color w:val="auto"/>
        </w:rPr>
        <w:t>, then “Benchmark” means the applicable Benchmark Replacement to the extent that such Benchmark Replacement has replaced such prior benchmark rate. Any reference to “Benchmark” shall include, as applicable, the published component used in the calculation thereof.</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means, for any Available Tenor, the first alternative set forth in the order below that can be determined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Administrator for the applicable Benchmark Replacement Date:</w:t>
      </w:r>
    </w:p>
    <w:p>
      <w:pPr>
        <w:spacing w:after="0" w:line="99" w:lineRule="exact"/>
        <w:rPr>
          <w:sz w:val="20"/>
          <w:szCs w:val="20"/>
          <w:color w:val="auto"/>
        </w:rPr>
      </w:pPr>
    </w:p>
    <w:p>
      <w:pPr>
        <w:ind w:left="980" w:right="80" w:firstLine="408"/>
        <w:spacing w:after="0" w:line="282" w:lineRule="auto"/>
        <w:tabs>
          <w:tab w:leader="none" w:pos="1636"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Benchmark Transition Event relating to the Daily Resetting SOFR or SOFR Rate, the sum of: (A) Daily Simple SOFR and (B) the SOFR Adjustment;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179" w:name="page180"/>
    <w:bookmarkEnd w:id="179"/>
    <w:p>
      <w:pPr>
        <w:ind w:left="980" w:firstLine="408"/>
        <w:spacing w:after="0" w:line="261" w:lineRule="auto"/>
        <w:tabs>
          <w:tab w:leader="none" w:pos="1636"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sum of (A) the alternate benchmark rate that has been selected by the Administrator and the Seller as the replacement for the then-current Benchmark for the applicable Available Tenor giving due consideration to any evolving or then-prevailing market convention, including any applicable recommendations made by the Relevant Governmental Body, for U.S. dollar-denominated syndicated credit facilities at such time and (B) the related Benchmark Replacement Adjustment;</w:t>
      </w:r>
    </w:p>
    <w:p>
      <w:pPr>
        <w:spacing w:after="0" w:line="72" w:lineRule="exact"/>
        <w:rPr>
          <w:sz w:val="20"/>
          <w:szCs w:val="20"/>
          <w:color w:val="auto"/>
        </w:rPr>
      </w:pPr>
    </w:p>
    <w:p>
      <w:pPr>
        <w:ind w:left="440" w:right="40"/>
        <w:spacing w:after="0" w:line="258"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such Unadjusted Benchmark Replacement is displayed on a screen or other information service that publishes such rate from time to time as selected by the Administrator in its reasonable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the Benchmark Replacement (as determined pursuant to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above and after giving effect to the SOFR Adjustment or the related Benchmark Replacement Adjustment, respectively) would be less than the Floor, the Benchmark Replacement will be deemed to be the Floor for the purposes of this Agreement and the other Transaction Documents.</w:t>
      </w:r>
    </w:p>
    <w:p>
      <w:pPr>
        <w:spacing w:after="0" w:line="183" w:lineRule="exact"/>
        <w:rPr>
          <w:sz w:val="20"/>
          <w:szCs w:val="20"/>
          <w:color w:val="auto"/>
        </w:rPr>
      </w:pPr>
    </w:p>
    <w:p>
      <w:pPr>
        <w:ind w:right="140" w:firstLine="440"/>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Benchmark Replacement Adjustment</w:t>
      </w:r>
      <w:r>
        <w:rPr>
          <w:rFonts w:ascii="Times New Roman" w:cs="Times New Roman" w:eastAsia="Times New Roman" w:hAnsi="Times New Roman"/>
          <w:sz w:val="17"/>
          <w:szCs w:val="17"/>
          <w:color w:val="auto"/>
        </w:rPr>
        <w:t xml:space="preserve">” means, with respect to any replacement of the then-current Benchmark with an Unadjusted Benchmark Replacement for any applicable Available Tenor for any setting of such Unadjusted Benchmark Replacement, the spread adjustment, or method for calculating or determining such spread adjustment, (which may be a positive or negative value or zero) that has been selected by the Administrator and the Seller for the applicable Corresponding Tenor giving due consideration to any evolving or then-prevailing market convention, including any applicable recommendations made by the Relevant Governmental Body, for U.S. dollar-denominated syndicated credit facilities at such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if the then-current Benchmark is a term rate, more than one tenor of such Benchmark is available as of the applicable Benchmark Replacement Date and the applicable Unadjusted Benchmark Replacement will not be a term rate, the Available Tenor of such Benchmark for purposes of this definition of “Benchmark Replacement Adjustment” shall be deemed to be the Available Tenor that has approximately the same length (disregarding business day adjustments) as the payment period for discount calculated with reference to such Unadjusted Benchmark Replacement.</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the earliest to occur of the following events with respect to the then-current Benchmark:</w:t>
      </w:r>
    </w:p>
    <w:p>
      <w:pPr>
        <w:spacing w:after="0" w:line="117" w:lineRule="exact"/>
        <w:rPr>
          <w:sz w:val="20"/>
          <w:szCs w:val="20"/>
          <w:color w:val="auto"/>
        </w:rPr>
      </w:pPr>
    </w:p>
    <w:p>
      <w:pPr>
        <w:ind w:left="980" w:right="40" w:firstLine="408"/>
        <w:spacing w:after="0" w:line="261" w:lineRule="auto"/>
        <w:tabs>
          <w:tab w:leader="none" w:pos="1636"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71" w:lineRule="exact"/>
        <w:rPr>
          <w:rFonts w:ascii="Times New Roman" w:cs="Times New Roman" w:eastAsia="Times New Roman" w:hAnsi="Times New Roman"/>
          <w:sz w:val="18"/>
          <w:szCs w:val="18"/>
          <w:color w:val="auto"/>
        </w:rPr>
      </w:pPr>
    </w:p>
    <w:p>
      <w:pPr>
        <w:jc w:val="both"/>
        <w:ind w:left="980" w:right="240" w:firstLine="408"/>
        <w:spacing w:after="0" w:line="266" w:lineRule="auto"/>
        <w:tabs>
          <w:tab w:leader="none" w:pos="1636"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w:t>
      </w:r>
      <w:r>
        <w:rPr>
          <w:rFonts w:ascii="Times New Roman" w:cs="Times New Roman" w:eastAsia="Times New Roman" w:hAnsi="Times New Roman"/>
          <w:sz w:val="18"/>
          <w:szCs w:val="18"/>
          <w:u w:val="single" w:color="auto"/>
          <w:color w:val="auto"/>
        </w:rPr>
        <w:t>clause (2)</w:t>
      </w:r>
      <w:r>
        <w:rPr>
          <w:rFonts w:ascii="Times New Roman" w:cs="Times New Roman" w:eastAsia="Times New Roman" w:hAnsi="Times New Roman"/>
          <w:sz w:val="18"/>
          <w:szCs w:val="18"/>
          <w:color w:val="auto"/>
        </w:rPr>
        <w:t xml:space="preserve"> of the definition of “Benchmark Transition Event,” date determined and announced or on behalf of the administrator of such Benchmark (or such component thereof) or by the Administrator, which date shall promptly follow the date of the public statement or publication of information referenced therein; 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180" w:name="page181"/>
    <w:bookmarkEnd w:id="180"/>
    <w:p>
      <w:pPr>
        <w:ind w:left="4"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or (2) with respect to any Benchmark upon the occurrence of the applicable event or events set forth therein with respect to all then-current Available Tenors of such Benchmark (or the published component used in the calculation thereof).</w:t>
      </w:r>
    </w:p>
    <w:p>
      <w:pPr>
        <w:spacing w:after="0" w:line="183" w:lineRule="exact"/>
        <w:rPr>
          <w:sz w:val="20"/>
          <w:szCs w:val="20"/>
          <w:color w:val="auto"/>
        </w:rPr>
      </w:pPr>
    </w:p>
    <w:p>
      <w:pPr>
        <w:ind w:left="4" w:right="20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the occurrence a public statement or publication of information by or on behalf of the administrator of the then-current Benchmark, the regulatory supervisor for the administrator of such Benchmark, the Federal Reserve Board, the Federal Reserve Bank of New York, an insolvency official with jurisdiction over the administrator for such Benchmark, a resolution authority with jurisdiction over the administrator for such Benchmark, or a court or an entity with similar insolvency or resolution authority over the administrator for such Benchmark, announcing or stating that:</w:t>
      </w:r>
    </w:p>
    <w:p>
      <w:pPr>
        <w:spacing w:after="0" w:line="75" w:lineRule="exact"/>
        <w:rPr>
          <w:sz w:val="20"/>
          <w:szCs w:val="20"/>
          <w:color w:val="auto"/>
        </w:rPr>
      </w:pPr>
    </w:p>
    <w:p>
      <w:pPr>
        <w:ind w:left="984" w:right="120" w:firstLine="408"/>
        <w:spacing w:after="0" w:line="266" w:lineRule="auto"/>
        <w:tabs>
          <w:tab w:leader="none" w:pos="164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administrator has ceased or will cease on a specified date to provide all Available Tenors of such Benchmark,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w:t>
      </w:r>
    </w:p>
    <w:p>
      <w:pPr>
        <w:spacing w:after="0" w:line="67" w:lineRule="exact"/>
        <w:rPr>
          <w:rFonts w:ascii="Times New Roman" w:cs="Times New Roman" w:eastAsia="Times New Roman" w:hAnsi="Times New Roman"/>
          <w:sz w:val="18"/>
          <w:szCs w:val="18"/>
          <w:color w:val="auto"/>
        </w:rPr>
      </w:pPr>
    </w:p>
    <w:p>
      <w:pPr>
        <w:ind w:left="984" w:firstLine="408"/>
        <w:spacing w:after="0" w:line="282" w:lineRule="auto"/>
        <w:tabs>
          <w:tab w:leader="none" w:pos="164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Available Tenors of such Benchmark are or will no longer be representative of the underlying market and economic reality that such Benchmark is intended to measure and that representativeness will not be restored.</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xml:space="preserve">” means the period (if any) (x) beginning at the time that a Benchmark Replacement Date pursuant to </w:t>
      </w:r>
      <w:r>
        <w:rPr>
          <w:rFonts w:ascii="Times New Roman" w:cs="Times New Roman" w:eastAsia="Times New Roman" w:hAnsi="Times New Roman"/>
          <w:sz w:val="18"/>
          <w:szCs w:val="18"/>
          <w:u w:val="single" w:color="auto"/>
          <w:color w:val="auto"/>
        </w:rPr>
        <w:t>clauses</w:t>
      </w:r>
    </w:p>
    <w:p>
      <w:pPr>
        <w:spacing w:after="0" w:line="27" w:lineRule="exact"/>
        <w:rPr>
          <w:sz w:val="20"/>
          <w:szCs w:val="20"/>
          <w:color w:val="auto"/>
        </w:rPr>
      </w:pPr>
    </w:p>
    <w:p>
      <w:pPr>
        <w:ind w:left="4" w:right="220" w:hanging="4"/>
        <w:spacing w:after="0" w:line="255" w:lineRule="auto"/>
        <w:tabs>
          <w:tab w:leader="none" w:pos="259" w:val="left"/>
        </w:tabs>
        <w:numPr>
          <w:ilvl w:val="0"/>
          <w:numId w:val="20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of that definition has occurred if, at such time, no Benchmark Replacement has replaced the then-current Benchmark for all purposes hereunder and under any Transaction Document in accordance with this </w:t>
      </w:r>
      <w:r>
        <w:rPr>
          <w:rFonts w:ascii="Times New Roman" w:cs="Times New Roman" w:eastAsia="Times New Roman" w:hAnsi="Times New Roman"/>
          <w:sz w:val="18"/>
          <w:szCs w:val="18"/>
          <w:u w:val="single" w:color="auto"/>
          <w:color w:val="auto"/>
        </w:rPr>
        <w:t>Section 1.12(g)</w:t>
      </w:r>
      <w:r>
        <w:rPr>
          <w:rFonts w:ascii="Times New Roman" w:cs="Times New Roman" w:eastAsia="Times New Roman" w:hAnsi="Times New Roman"/>
          <w:sz w:val="18"/>
          <w:szCs w:val="18"/>
          <w:color w:val="auto"/>
        </w:rPr>
        <w:t xml:space="preserve"> and (y) ending at the time that a Benchmark Replacement has replaced the then-current Benchmark for all purposes hereunder and under any Transaction Document in accordance with this </w:t>
      </w:r>
      <w:r>
        <w:rPr>
          <w:rFonts w:ascii="Times New Roman" w:cs="Times New Roman" w:eastAsia="Times New Roman" w:hAnsi="Times New Roman"/>
          <w:sz w:val="18"/>
          <w:szCs w:val="18"/>
          <w:u w:val="single" w:color="auto"/>
          <w:color w:val="auto"/>
        </w:rPr>
        <w:t>Section 1.12(g)</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Corresponding Tenor</w:t>
      </w:r>
      <w:r>
        <w:rPr>
          <w:rFonts w:ascii="Times New Roman" w:cs="Times New Roman" w:eastAsia="Times New Roman" w:hAnsi="Times New Roman"/>
          <w:sz w:val="18"/>
          <w:szCs w:val="18"/>
          <w:color w:val="auto"/>
        </w:rPr>
        <w:t>” with respect to any Available Tenor means, as applicable, either a tenor (including overnight) or discount payment period having approximately the same length (disregarding business day adjustment) as such Available Tenor.</w:t>
      </w:r>
    </w:p>
    <w:p>
      <w:pPr>
        <w:spacing w:after="0" w:line="162"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Time</w:t>
      </w:r>
      <w:r>
        <w:rPr>
          <w:rFonts w:ascii="Times New Roman" w:cs="Times New Roman" w:eastAsia="Times New Roman" w:hAnsi="Times New Roman"/>
          <w:sz w:val="18"/>
          <w:szCs w:val="18"/>
          <w:color w:val="auto"/>
        </w:rPr>
        <w:t>” means, with respect to any setting of the then-current Benchmark, the time determined by the Administrator in its reasonable discretion.</w:t>
      </w:r>
    </w:p>
    <w:p>
      <w:pPr>
        <w:spacing w:after="0" w:line="162"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the Federal Reserve Board or the Federal Reserve Bank of New York, or a committee officially endorsed or convened by the Federal Reserve Board or the Federal Reserve Bank of New York, or any successor thereto.</w:t>
      </w:r>
    </w:p>
    <w:p>
      <w:pPr>
        <w:spacing w:after="0" w:line="162" w:lineRule="exact"/>
        <w:rPr>
          <w:sz w:val="20"/>
          <w:szCs w:val="20"/>
          <w:color w:val="auto"/>
        </w:rPr>
      </w:pPr>
    </w:p>
    <w:p>
      <w:pPr>
        <w:ind w:left="4" w:right="9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 Adjustment.</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4"/>
          </w:cols>
          <w:pgMar w:left="436" w:top="270" w:right="439" w:bottom="1440" w:gutter="0" w:footer="0" w:header="0"/>
        </w:sectPr>
      </w:pPr>
    </w:p>
    <w:bookmarkStart w:id="181" w:name="page182"/>
    <w:bookmarkEnd w:id="181"/>
    <w:p>
      <w:pPr>
        <w:ind w:firstLine="987"/>
        <w:spacing w:after="0" w:line="258" w:lineRule="auto"/>
        <w:tabs>
          <w:tab w:leader="none" w:pos="1246"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Selection of Discount Rate Options</w:t>
      </w:r>
      <w:r>
        <w:rPr>
          <w:rFonts w:ascii="Times New Roman" w:cs="Times New Roman" w:eastAsia="Times New Roman" w:hAnsi="Times New Roman"/>
          <w:sz w:val="18"/>
          <w:szCs w:val="18"/>
          <w:color w:val="auto"/>
        </w:rPr>
        <w:t xml:space="preserve">. If the Seller fails to select a new Discount Rate Option to apply to any Portion of Investment under any Term Rate Investment Option at the expiration of an existing Yield Period applicable to such Portion of Investment in accordance with the provisions of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the Seller shall be deemed to have continued such Portion of Investment as the Term Rate Investment Option then in effect commencing upon the last day of the existing Yield Period. Each Yield Period for SOFR Rate Investments shall be a period of one (1) month. Any Purchase Notice that fails to select a Discount Rate Option shall be deemed to be a request for the SOFR Rate Option.</w:t>
      </w:r>
    </w:p>
    <w:p>
      <w:pPr>
        <w:spacing w:after="0" w:line="75" w:lineRule="exact"/>
        <w:rPr>
          <w:rFonts w:ascii="Times New Roman" w:cs="Times New Roman" w:eastAsia="Times New Roman" w:hAnsi="Times New Roman"/>
          <w:sz w:val="18"/>
          <w:szCs w:val="18"/>
          <w:color w:val="auto"/>
        </w:rPr>
      </w:pPr>
    </w:p>
    <w:p>
      <w:pPr>
        <w:ind w:right="280" w:firstLine="987"/>
        <w:spacing w:after="0" w:line="266" w:lineRule="auto"/>
        <w:tabs>
          <w:tab w:leader="none" w:pos="1206"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Discount Payment Dates</w:t>
      </w:r>
      <w:r>
        <w:rPr>
          <w:rFonts w:ascii="Times New Roman" w:cs="Times New Roman" w:eastAsia="Times New Roman" w:hAnsi="Times New Roman"/>
          <w:sz w:val="18"/>
          <w:szCs w:val="18"/>
          <w:color w:val="auto"/>
        </w:rPr>
        <w:t xml:space="preserve">. Each Investment shall accrue Discount on each day when such Investment remains outstanding at the then applicable discount rate for the Portion of Investment relating to such Investment. The Seller shall pay all Discount on each Settlement Date in accordance with the terms and priorities for payment set forth in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REPRESENTATIONS AND WARRANTIES; COVENANTS;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TERMINATION EVENTS</w:t>
      </w:r>
    </w:p>
    <w:p>
      <w:pPr>
        <w:spacing w:after="0" w:line="207"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Representations and Warranties; Covenants</w:t>
      </w:r>
      <w:r>
        <w:rPr>
          <w:rFonts w:ascii="Times New Roman" w:cs="Times New Roman" w:eastAsia="Times New Roman" w:hAnsi="Times New Roman"/>
          <w:sz w:val="18"/>
          <w:szCs w:val="18"/>
          <w:color w:val="auto"/>
        </w:rPr>
        <w:t xml:space="preserve">. Each of the Seller, WESCO and the Servicer hereby makes the representations and warranties, and hereby agrees to perform and observe the covenants, applicable to it set forth in </w:t>
      </w:r>
      <w:r>
        <w:rPr>
          <w:rFonts w:ascii="Times New Roman" w:cs="Times New Roman" w:eastAsia="Times New Roman" w:hAnsi="Times New Roman"/>
          <w:sz w:val="18"/>
          <w:szCs w:val="18"/>
          <w:u w:val="single" w:color="auto"/>
          <w:color w:val="auto"/>
        </w:rPr>
        <w:t>Exhibits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respectively.</w:t>
      </w:r>
    </w:p>
    <w:p>
      <w:pPr>
        <w:spacing w:after="0" w:line="54"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Termination Events</w:t>
      </w:r>
      <w:r>
        <w:rPr>
          <w:rFonts w:ascii="Times New Roman" w:cs="Times New Roman" w:eastAsia="Times New Roman" w:hAnsi="Times New Roman"/>
          <w:sz w:val="18"/>
          <w:szCs w:val="18"/>
          <w:color w:val="auto"/>
        </w:rPr>
        <w:t xml:space="preserve">. If any of the Termination Events set forth in </w:t>
      </w:r>
      <w:r>
        <w:rPr>
          <w:rFonts w:ascii="Times New Roman" w:cs="Times New Roman" w:eastAsia="Times New Roman" w:hAnsi="Times New Roman"/>
          <w:sz w:val="18"/>
          <w:szCs w:val="18"/>
          <w:u w:val="single" w:color="auto"/>
          <w:color w:val="auto"/>
        </w:rPr>
        <w:t>Exhibit V</w:t>
      </w:r>
      <w:r>
        <w:rPr>
          <w:rFonts w:ascii="Times New Roman" w:cs="Times New Roman" w:eastAsia="Times New Roman" w:hAnsi="Times New Roman"/>
          <w:sz w:val="18"/>
          <w:szCs w:val="18"/>
          <w:color w:val="auto"/>
        </w:rPr>
        <w:t xml:space="preserve"> shall occur and be continuing, the Administrator may (with the consent of a Simple Majority of the Purchasers) or shall (at the direction of a Simple Majority of the Purchasers), by notice to the Seller, declare the Facility Termination Date to have occurred (in which case the Facility Termination Date shall be deemed to have occurred);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automatically upon the occurrence of any event (without any requirement for the passage of time or the giving of notice) described in </w:t>
      </w:r>
      <w:r>
        <w:rPr>
          <w:rFonts w:ascii="Times New Roman" w:cs="Times New Roman" w:eastAsia="Times New Roman" w:hAnsi="Times New Roman"/>
          <w:sz w:val="18"/>
          <w:szCs w:val="18"/>
          <w:u w:val="single" w:color="auto"/>
          <w:color w:val="auto"/>
        </w:rPr>
        <w:t>paragraph (f)</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Exhibit V</w:t>
      </w:r>
      <w:r>
        <w:rPr>
          <w:rFonts w:ascii="Times New Roman" w:cs="Times New Roman" w:eastAsia="Times New Roman" w:hAnsi="Times New Roman"/>
          <w:sz w:val="18"/>
          <w:szCs w:val="18"/>
          <w:color w:val="auto"/>
        </w:rPr>
        <w:t>, the Facility Termination Date shall occur. Upon any such declaration, occurrence or deemed occurrence of the Facility Termination Date, the Administrator, each Purchaser Agent and each Purchaser shall have, in addition to the rights and remedies that they may have under this Agreement, all other rights and remedies provided after default under the New York UCC and under other Applicable Law, which rights and remedies shall be cumulative.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07"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Indemnities by the Seller</w:t>
      </w:r>
      <w:r>
        <w:rPr>
          <w:rFonts w:ascii="Times New Roman" w:cs="Times New Roman" w:eastAsia="Times New Roman" w:hAnsi="Times New Roman"/>
          <w:sz w:val="18"/>
          <w:szCs w:val="18"/>
          <w:color w:val="auto"/>
        </w:rPr>
        <w:t>. Without limiting any other rights that any Purchaser Agent, Purchaser, Liquidity Provider, the Administrator or any Program Support Provider or any of their respective Affiliates, employees, officers, directors, agents, counsel, successors, transferees or assigns (each,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may have hereunder or under Applicable Law, the Seller hereby agrees to indemnify each Indemnified Party from and against any and all claims, damages, expenses, costs, losses and liabilities (including Attorney Costs) (all of the foregoing being collectively referred to as “</w:t>
      </w:r>
      <w:r>
        <w:rPr>
          <w:rFonts w:ascii="Times New Roman" w:cs="Times New Roman" w:eastAsia="Times New Roman" w:hAnsi="Times New Roman"/>
          <w:sz w:val="18"/>
          <w:szCs w:val="18"/>
          <w:u w:val="single" w:color="auto"/>
          <w:color w:val="auto"/>
        </w:rPr>
        <w:t>Indemnified Amounts</w:t>
      </w:r>
      <w:r>
        <w:rPr>
          <w:rFonts w:ascii="Times New Roman" w:cs="Times New Roman" w:eastAsia="Times New Roman" w:hAnsi="Times New Roman"/>
          <w:sz w:val="18"/>
          <w:szCs w:val="18"/>
          <w:color w:val="auto"/>
        </w:rPr>
        <w:t>”) arising out of or resulting from this Agreement (whether directly or indirectly), the use of proceeds of purchases or reinvestments, the ownership of the Purchased Interest, or any interest therein, or in respect of</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182" w:name="page183"/>
    <w:bookmarkEnd w:id="182"/>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Receivable, Related Security or Contract, excluding, however: (a) Indemnified Amounts to the extent resulting from gross negligence or willful misconduct on the part of such Indemnified Party or its officers, directors, agents or counsel, (b) Indemnified Amounts in respect of any Receivable to the extent that such Receivable is uncollectible on account of the insolvency, bankruptcy or lack of creditworthiness of the related Obligor, or (c) any overall net income taxes or franchise taxes imposed on such Indemnified Party by the jurisdiction under the laws of which such Indemnified Party is organized or any political subdivision thereof. Without limiting or being limited by the foregoing, and subject to the exclusions set forth in the preceding sentence, the Seller shall pay on demand (which demand shall be accompanied by documentation of the Indemnified Amounts, in reasonable detail) to each Indemnified Party any and all amounts necessary to indemnify such Indemnified Party from and against any and all Indemnified Amounts relating to or resulting from any of the following:</w:t>
      </w:r>
    </w:p>
    <w:p>
      <w:pPr>
        <w:spacing w:after="0" w:line="84" w:lineRule="exact"/>
        <w:rPr>
          <w:sz w:val="20"/>
          <w:szCs w:val="20"/>
          <w:color w:val="auto"/>
        </w:rPr>
      </w:pPr>
    </w:p>
    <w:p>
      <w:pPr>
        <w:jc w:val="both"/>
        <w:ind w:left="440" w:right="140" w:firstLine="419"/>
        <w:spacing w:after="0" w:line="289" w:lineRule="auto"/>
        <w:tabs>
          <w:tab w:leader="none" w:pos="1078"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any Receivable included in the calculation of the Net Receivables Pool Balance as an Eligible Receivable to be an Eligible Receivable, the failure of any information contained in an Information Package or Daily Report to be true and correct, or the failure of any other information provided to such Indemnified Party by the Seller or Servicer with respect to Receivables or this Agreement to be true and correct;</w:t>
      </w:r>
    </w:p>
    <w:p>
      <w:pPr>
        <w:spacing w:after="0" w:line="49" w:lineRule="exact"/>
        <w:rPr>
          <w:rFonts w:ascii="Times New Roman" w:cs="Times New Roman" w:eastAsia="Times New Roman" w:hAnsi="Times New Roman"/>
          <w:sz w:val="17"/>
          <w:szCs w:val="17"/>
          <w:color w:val="auto"/>
        </w:rPr>
      </w:pPr>
    </w:p>
    <w:p>
      <w:pPr>
        <w:ind w:left="440" w:right="20" w:firstLine="419"/>
        <w:spacing w:after="0" w:line="282" w:lineRule="auto"/>
        <w:tabs>
          <w:tab w:leader="none" w:pos="1128"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representation, warranty or statement made or deemed made by the Seller (or any of its officers) under or in connection with this Agreement to have been true and correct as of the date made or deemed made in all respects when made;</w:t>
      </w:r>
    </w:p>
    <w:p>
      <w:pPr>
        <w:spacing w:after="0" w:line="53"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78"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by the Seller to comply with any Applicable Law with respect to any Pool Receivable or the related Contract, or the failure of any Pool Receivable or the related Contract to conform to any such Applicable Law;</w:t>
      </w:r>
    </w:p>
    <w:p>
      <w:pPr>
        <w:spacing w:after="0" w:line="53" w:lineRule="exact"/>
        <w:rPr>
          <w:rFonts w:ascii="Times New Roman" w:cs="Times New Roman" w:eastAsia="Times New Roman" w:hAnsi="Times New Roman"/>
          <w:sz w:val="18"/>
          <w:szCs w:val="18"/>
          <w:color w:val="auto"/>
        </w:rPr>
      </w:pPr>
    </w:p>
    <w:p>
      <w:pPr>
        <w:jc w:val="both"/>
        <w:ind w:left="440" w:right="260" w:firstLine="419"/>
        <w:spacing w:after="0" w:line="289" w:lineRule="auto"/>
        <w:tabs>
          <w:tab w:leader="none" w:pos="1168"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to vest in the Administrator (for the benefit of the Purchasers) a valid and enforceable: (A) perfected undivided percentage ownership interest, to the extent of the Purchased Interest, in the Receivables in, or purporting to be in, the Receivables Pool and the other Pool Assets, or, if not, a (B) first priority perfected security interest in the Pool Assets, in each case, free and clear of any Adverse Claim;</w:t>
      </w:r>
    </w:p>
    <w:p>
      <w:pPr>
        <w:spacing w:after="0" w:line="49" w:lineRule="exact"/>
        <w:rPr>
          <w:rFonts w:ascii="Times New Roman" w:cs="Times New Roman" w:eastAsia="Times New Roman" w:hAnsi="Times New Roman"/>
          <w:sz w:val="17"/>
          <w:szCs w:val="17"/>
          <w:color w:val="auto"/>
        </w:rPr>
      </w:pPr>
    </w:p>
    <w:p>
      <w:pPr>
        <w:jc w:val="both"/>
        <w:ind w:left="440" w:right="360" w:firstLine="419"/>
        <w:spacing w:after="0" w:line="266" w:lineRule="auto"/>
        <w:tabs>
          <w:tab w:leader="none" w:pos="1118"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have filed, or any delay in filing, financing statements or other similar instruments or documents under the UCC of any applicable jurisdiction or other Applicable Laws with respect to any Receivables in, or purporting to be in, the Receivables Pool and the other Pool Assets, whether at the time of any Purchase or reinvestment or at any subsequent time;</w:t>
      </w:r>
    </w:p>
    <w:p>
      <w:pPr>
        <w:spacing w:after="0" w:line="67" w:lineRule="exact"/>
        <w:rPr>
          <w:rFonts w:ascii="Times New Roman" w:cs="Times New Roman" w:eastAsia="Times New Roman" w:hAnsi="Times New Roman"/>
          <w:sz w:val="18"/>
          <w:szCs w:val="18"/>
          <w:color w:val="auto"/>
        </w:rPr>
      </w:pPr>
    </w:p>
    <w:p>
      <w:pPr>
        <w:ind w:left="440" w:firstLine="419"/>
        <w:spacing w:after="0" w:line="266" w:lineRule="auto"/>
        <w:tabs>
          <w:tab w:leader="none" w:pos="1168"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dispute, claim, offset or defense (other than discharge in bankruptcy of the Obligor) of the Obligor to the payment of any Receivable in, or purporting to be in, the Receivables Pool (including a defense based on such Receivable or the related Contract not being a legal, valid and binding obligation of such Obligor enforceable against it in accordance with its terms), or any other claim resulting from the sale of the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0"/>
          </w:cols>
          <w:pgMar w:left="440" w:top="270" w:right="439" w:bottom="1440" w:gutter="0" w:footer="0" w:header="0"/>
        </w:sectPr>
      </w:pPr>
    </w:p>
    <w:bookmarkStart w:id="183" w:name="page184"/>
    <w:bookmarkEnd w:id="183"/>
    <w:p>
      <w:pPr>
        <w:ind w:left="440" w:right="2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goods or services related to such Receivable or the furnishing or failure to furnish such goods or services or relating to collection activities with respect to such Receivable;</w:t>
      </w:r>
    </w:p>
    <w:p>
      <w:pPr>
        <w:spacing w:after="0" w:line="54" w:lineRule="exact"/>
        <w:rPr>
          <w:sz w:val="20"/>
          <w:szCs w:val="20"/>
          <w:color w:val="auto"/>
        </w:rPr>
      </w:pPr>
    </w:p>
    <w:p>
      <w:pPr>
        <w:ind w:left="440" w:right="60" w:firstLine="419"/>
        <w:spacing w:after="0" w:line="282" w:lineRule="auto"/>
        <w:tabs>
          <w:tab w:leader="none" w:pos="1218"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the Seller, any Affiliate of the Seller or the Servicer to perform its duties or obligations in accordance with the provisions hereof or under the Contracts;</w:t>
      </w:r>
    </w:p>
    <w:p>
      <w:pPr>
        <w:spacing w:after="0" w:line="53"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268"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products liability or other claim, investigation, litigation or proceeding arising out of or in connection with merchandise, insurance or services that are the subject of any Contract;</w:t>
      </w:r>
    </w:p>
    <w:p>
      <w:pPr>
        <w:spacing w:after="0" w:line="269"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commingling of Collections at any time with other funds;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proceeds of purchases or reinvestments; or</w:t>
      </w:r>
    </w:p>
    <w:p>
      <w:pPr>
        <w:spacing w:after="0" w:line="117"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68"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reduction in the Aggregate Investment as a result of the distribution of Collections pursuant to </w:t>
      </w:r>
      <w:r>
        <w:rPr>
          <w:rFonts w:ascii="Times New Roman" w:cs="Times New Roman" w:eastAsia="Times New Roman" w:hAnsi="Times New Roman"/>
          <w:sz w:val="18"/>
          <w:szCs w:val="18"/>
          <w:u w:val="single" w:color="auto"/>
          <w:color w:val="auto"/>
        </w:rPr>
        <w:t>Section 1.4(d)</w:t>
      </w:r>
      <w:r>
        <w:rPr>
          <w:rFonts w:ascii="Times New Roman" w:cs="Times New Roman" w:eastAsia="Times New Roman" w:hAnsi="Times New Roman"/>
          <w:sz w:val="18"/>
          <w:szCs w:val="18"/>
          <w:color w:val="auto"/>
        </w:rPr>
        <w:t>, if all or a portion of such distributions shall thereafter be rescinded or otherwise must be returned for any reason.</w:t>
      </w:r>
    </w:p>
    <w:p>
      <w:pPr>
        <w:spacing w:after="0" w:line="162"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Indemnities by the Servicer</w:t>
      </w:r>
      <w:r>
        <w:rPr>
          <w:rFonts w:ascii="Times New Roman" w:cs="Times New Roman" w:eastAsia="Times New Roman" w:hAnsi="Times New Roman"/>
          <w:sz w:val="18"/>
          <w:szCs w:val="18"/>
          <w:color w:val="auto"/>
        </w:rPr>
        <w:t>. Without limiting any other rights that any Indemnified Party may have hereunder or under Applicable Law, the Servicer hereby agrees to indemnify each Indemnified Party from and against any and all Indemnified Amounts arising out of or resulting from (whether directly or indirectly): (a) the failure of any information contained in an Information Package or Daily Report to be true and correct, or the failure of any other information provided to such Indemnified Party by, or on behalf of, the Servicer to be true and correct, (b) the failure of any representation, warranty or statement made or deemed made by the Servicer (or any of its officers) under or in connection with this Agreement or any other Transaction Document to which it is a party to have been true and correct as of the date made or deemed made in all respects when made, (c) the failure by the Servicer to comply with any Applicable Law with respect to any Pool Receivable or the related Contract, (d) any dispute, claim, offset or defense of the Obligor to the payment of any Receivable in, or purporting to be in, the Receivables Pool resulting from or related to the collection activities of the Servicer, its Affiliates and designees, including any sub-servicers, with respect to such Receivable, or (e) any failure of the Servicer to perform its duties or obligations in accordance with the provisions hereof or any other Transaction Document to which it is a party.</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ADMINISTRATION AND COLLECTIONS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Appointment of the Servicer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8" w:lineRule="auto"/>
        <w:tabs>
          <w:tab w:leader="none" w:pos="123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servicing, administering and collection of the Pool Receivables shall be conducted by the Person so designated from time to time as the Servicer in accordance with this Section. Until the Administrator gives notice to WESCO (in accordance with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of the designation of a new Servicer, WESCO is hereby designated as, and hereby agrees to perform the duties and obligations of, the Servicer pursuant to the terms hereof. Upon the occurrence of a Termination Event, the Administrator may (with the consent of the Majority Purchasers) or shall (at the direction of the Majority Purchasers) designate as Servicer any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184" w:name="page185"/>
    <w:bookmarkEnd w:id="184"/>
    <w:p>
      <w:pPr>
        <w:ind w:right="1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Person (including itself) to succeed WESCO or any successor Servicer, on the condition in each case that any such Person so designated shall agree to perform the duties and obligations of the Servicer pursuant to the terms hereof.</w:t>
      </w:r>
    </w:p>
    <w:p>
      <w:pPr>
        <w:spacing w:after="0" w:line="54" w:lineRule="exact"/>
        <w:rPr>
          <w:sz w:val="20"/>
          <w:szCs w:val="20"/>
          <w:color w:val="auto"/>
        </w:rPr>
      </w:pPr>
    </w:p>
    <w:p>
      <w:pPr>
        <w:ind w:right="240" w:firstLine="987"/>
        <w:spacing w:after="0" w:line="258" w:lineRule="auto"/>
        <w:tabs>
          <w:tab w:leader="none" w:pos="124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designation of a successor Servicer as set forth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WESCO agrees that it will terminate its activities as Servicer hereunder in a manner that the Administrator determines will facilitate the transition of the performance of such activities to the new Servicer, and WESCO shall cooperate with and assist such new Servicer. Such cooperation shall include access to and transfer of related records (including all Contracts) and use by the new Servicer of all licenses, hardware or software necessary or desirable to collect the Pool Receivables and the Related Security.</w:t>
      </w:r>
    </w:p>
    <w:p>
      <w:pPr>
        <w:spacing w:after="0" w:line="75" w:lineRule="exact"/>
        <w:rPr>
          <w:rFonts w:ascii="Times New Roman" w:cs="Times New Roman" w:eastAsia="Times New Roman" w:hAnsi="Times New Roman"/>
          <w:sz w:val="18"/>
          <w:szCs w:val="18"/>
          <w:color w:val="auto"/>
        </w:rPr>
      </w:pPr>
    </w:p>
    <w:p>
      <w:pPr>
        <w:jc w:val="both"/>
        <w:ind w:right="300" w:firstLine="987"/>
        <w:spacing w:after="0" w:line="282" w:lineRule="auto"/>
        <w:tabs>
          <w:tab w:leader="none" w:pos="123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WESCO acknowledges that, in making their decision to execute and deliver this Agreement, the Administrator and each Purchaser Group have relied on WESCO’s agreement to act as Servicer hereunder. Accordingly, WESCO agrees that it will not voluntarily resign as Servicer.</w:t>
      </w:r>
    </w:p>
    <w:p>
      <w:pPr>
        <w:spacing w:after="0" w:line="53"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Servicer may delegate its duties and obligations hereunder to any subservicer (each a “</w:t>
      </w:r>
      <w:r>
        <w:rPr>
          <w:rFonts w:ascii="Times New Roman" w:cs="Times New Roman" w:eastAsia="Times New Roman" w:hAnsi="Times New Roman"/>
          <w:sz w:val="18"/>
          <w:szCs w:val="18"/>
          <w:u w:val="single" w:color="auto"/>
          <w:color w:val="auto"/>
        </w:rPr>
        <w:t>Sub-Servicer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such delegation: (i) such Sub-Servicer shall agree in writing to perform the duties and obligations of the Servicer pursuant to the terms hereof, (ii) the Servicer shall remain primarily liable for the performance of the duties and obligations so delegated, (iii) the Seller, the Administrator and each Purchaser Group shall have the right to look solely to the Servicer for performance, and (iv) the terms of any agreement with any Sub-Servicer shall provide that the Administrator may terminate such agreement upon the termination of the Servicer hereunder by giving notice of its desire to terminate such agreement to the Servicer (and the Servicer shall provide appropriate notice to each such Sub-Servicer);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such delegation is to any Person other than an Originator or an Affiliate thereof, the Administrator and the Majority Purchasers shall have consented in writing in advance to such delegation.</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Duties of the Servicer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87"/>
        <w:spacing w:after="0" w:line="253" w:lineRule="auto"/>
        <w:tabs>
          <w:tab w:leader="none" w:pos="123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Servicer shall take or cause to be taken all such action as may be necessary or advisable to administer and collect each Pool Receivable from time to time, all in accordance with this Agreement and all Applicable Laws, with reasonable care and diligence, and in accordance with the Credit and Collection Policies. The Servicer shall set aside, for the account of each Purchaser Group, the amount of the Collections to which each such Purchaser Group is entitled in accordance with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The Servicer may, in accordance with the applicable Credit and Collection Policy, extend the maturity of any Pool Receivable and extend the maturity or adjust the Outstanding Balance of any Defaulted Receivable as the Servicer may determine to be appropriate to maximize Collections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such extension or adjustment shall not alter the status of such Pool Receivable as a Delinquent Receivable or a Defaulted Receivable (or cause any ineligible Receivable to become an Eligible Receivable) or limit the rights of the Administrator or any Purchaser Group under this Agreement, (ii) the original invoice date shall continue to be used for purposes of determining whether such Receivable is an Eligible Receivable, a Delinquent Receivable or a Defaulted Receivable and (iii) if a Termination Event has occurred and WESCO or an Affiliate thereof is</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60"/>
          </w:cols>
          <w:pgMar w:left="440" w:top="270" w:right="499" w:bottom="1440" w:gutter="0" w:footer="0" w:header="0"/>
        </w:sectPr>
      </w:pPr>
    </w:p>
    <w:bookmarkStart w:id="185" w:name="page186"/>
    <w:bookmarkEnd w:id="185"/>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serving as the Servicer, WESCO or such Affiliate may make such extension or adjustment only upon the prior approval of the Administrator (with the consent of the Majority Purchasers). The Seller shall deliver to the Servicer and the Servicer shall hold for the benefit of the Seller and the Administrator (individually and for the benefit of each Purchaser Group), in accordance with their respective interests, all records and documents (including computer tapes or disks) with respect to each Pool Receivable. Notwithstanding anything to the contrary contained herein, the Administrator may direct the Servicer (whether the Servicer is WESCO or any other Person) to commence or settle any legal action to enforce collection of any Pool Receivable or to foreclose upon or repossess any Related Security;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direction may be given unless either: (A) a Termination Event has occurred or (B) the Administrator believes in good faith that failure to commence, settle or effect such legal action, foreclosure or repossession could adversely affect Receivables constituting a material portion of the Pool Receivables.</w:t>
      </w:r>
    </w:p>
    <w:p>
      <w:pPr>
        <w:spacing w:after="0" w:line="84" w:lineRule="exact"/>
        <w:rPr>
          <w:sz w:val="20"/>
          <w:szCs w:val="20"/>
          <w:color w:val="auto"/>
        </w:rPr>
      </w:pPr>
    </w:p>
    <w:p>
      <w:pPr>
        <w:ind w:left="4" w:right="100" w:firstLine="987"/>
        <w:spacing w:after="0" w:line="258" w:lineRule="auto"/>
        <w:tabs>
          <w:tab w:leader="none" w:pos="125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Servicer shall, as soon as practicable following actual receipt of collected funds, turn over to the Seller the collections of any indebtedness that is not a Pool Receivable, less, if WESCO or an Affiliate thereof is not the Servicer, all reasonable and appropriate out-of-pocket costs and expenses of such Servicer of servicing, collecting and administering such collections. The Servicer, if other than WESCO or an Affiliate thereof, shall, as soon as practicable upon demand, deliver to the Seller all records in its possession that evidence or relate to any indebtedness that is not a Pool Receivable, and copies of records in its possession that evidence or relate to any indebtedness that is a Pool Receivable.</w:t>
      </w:r>
    </w:p>
    <w:p>
      <w:pPr>
        <w:spacing w:after="0" w:line="75" w:lineRule="exact"/>
        <w:rPr>
          <w:rFonts w:ascii="Times New Roman" w:cs="Times New Roman" w:eastAsia="Times New Roman" w:hAnsi="Times New Roman"/>
          <w:sz w:val="18"/>
          <w:szCs w:val="18"/>
          <w:color w:val="auto"/>
        </w:rPr>
      </w:pPr>
    </w:p>
    <w:p>
      <w:pPr>
        <w:ind w:left="4" w:right="160" w:firstLine="987"/>
        <w:spacing w:after="0" w:line="266" w:lineRule="auto"/>
        <w:tabs>
          <w:tab w:leader="none" w:pos="12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Servicer’s obligations hereunder shall terminate on the later of: (i) the Facility Termination Date and (ii) the date on which all amounts required to be paid to the Purchaser Agents, each Purchaser, the Administrator and any other Indemnified Party or Affected Person hereunder shall have been paid in full.</w:t>
      </w:r>
    </w:p>
    <w:p>
      <w:pPr>
        <w:spacing w:after="0" w:line="176"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After such termination, if WESCO or an Affiliate thereof was not the Servicer on the date of such termination, the Servicer shall promptly deliver to the Seller all books, records and related materials that the Seller previously provided to the Servicer, or that have been obtained by the Servicer, in connection with this Agreement.</w:t>
      </w:r>
    </w:p>
    <w:p>
      <w:pPr>
        <w:spacing w:after="0" w:line="68"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Lock-Box Account Arrangements</w:t>
      </w:r>
      <w:r>
        <w:rPr>
          <w:rFonts w:ascii="Times New Roman" w:cs="Times New Roman" w:eastAsia="Times New Roman" w:hAnsi="Times New Roman"/>
          <w:sz w:val="18"/>
          <w:szCs w:val="18"/>
          <w:color w:val="auto"/>
        </w:rPr>
        <w:t xml:space="preserve">. Prior to the date hereof, the Seller has entered into Lock-Box Agreements with all of the Lock-Box Banks maintaining any Lock-Box Account and delivered original counterparts of each such Lock-Box Agreement to the Administrator and each Purchaser Agent. Upon (i) the occurrence of a Termination Event, (ii) WESCO or Holdings ceasing to have a rating of at least “B-” by Standard &amp; Poor’s on its corporate credit rating or (iii) Holding’s Available Liquidity fails to exceed $100,000,000, the Administrator may (with the consent of any of the Purchasers) or shall (upon the direction of any of the Purchasers) at any time thereafter so long as any event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or</w:t>
      </w:r>
    </w:p>
    <w:p>
      <w:pPr>
        <w:spacing w:after="0" w:line="3" w:lineRule="exact"/>
        <w:rPr>
          <w:sz w:val="20"/>
          <w:szCs w:val="20"/>
          <w:color w:val="auto"/>
        </w:rPr>
      </w:pPr>
    </w:p>
    <w:p>
      <w:pPr>
        <w:ind w:left="4" w:hanging="4"/>
        <w:spacing w:after="0" w:line="253" w:lineRule="auto"/>
        <w:tabs>
          <w:tab w:leader="none" w:pos="319" w:val="left"/>
        </w:tabs>
        <w:numPr>
          <w:ilvl w:val="0"/>
          <w:numId w:val="21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above exists at such time, give notice to each Lock-Box Bank that the Administrator is exercising its rights under the Lock-Box Agreements to do any or all of the following: (a) to have the exclusive ownership and control of the Lock-Box Accounts transferred to the Administrator (for the benefit of the Purchasers) and to exercise exclusive dominion and control over the funds deposited therein, (b) to have the proceeds that are sent to the respective Lock-Box Accounts redirected pursuant to the Administrator’s instructions rather than deposited in the applicable Lock-Box Account, and (c) to take any or all other actions permitted under the applicable</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4"/>
          </w:cols>
          <w:pgMar w:left="436" w:top="270" w:right="459" w:bottom="1440" w:gutter="0" w:footer="0" w:header="0"/>
        </w:sectPr>
      </w:pPr>
    </w:p>
    <w:bookmarkStart w:id="186" w:name="page187"/>
    <w:bookmarkEnd w:id="186"/>
    <w:p>
      <w:pPr>
        <w:ind w:right="10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Lock-Box Agreement (collectively, the “</w:t>
      </w:r>
      <w:r>
        <w:rPr>
          <w:rFonts w:ascii="Times New Roman" w:cs="Times New Roman" w:eastAsia="Times New Roman" w:hAnsi="Times New Roman"/>
          <w:sz w:val="18"/>
          <w:szCs w:val="18"/>
          <w:u w:val="single" w:color="auto"/>
          <w:color w:val="auto"/>
        </w:rPr>
        <w:t>Lock-Box Rights</w:t>
      </w:r>
      <w:r>
        <w:rPr>
          <w:rFonts w:ascii="Times New Roman" w:cs="Times New Roman" w:eastAsia="Times New Roman" w:hAnsi="Times New Roman"/>
          <w:sz w:val="18"/>
          <w:szCs w:val="18"/>
          <w:color w:val="auto"/>
        </w:rPr>
        <w:t xml:space="preserve">”). The Seller hereby agrees that if the Administrator at any time takes any action set forth in the preceding sentence, the Administrator shall have exclusive control (for the benefit of the Purchasers) of the proceeds (including Collections) of all Pool Receivables and the Seller hereby further agrees to take any other action that the Administrator or any Purchaser Agent may reasonably request to transfer such control. Any proceeds of Pool Receivables received by the Seller or the Servicer thereafter shall be sent immediately to the Administrator. The parties hereto hereby acknowledge that if at any time the Administrator takes control of any Lock-Box Account, the Administrator shall not have any rights to the funds therein in excess of the unpaid amounts due to the Administrator, the Purchaser Groups, any Indemnified Party or any other Person hereunder, and the Administrator shall distribute or cause to be distributed such funds in accordance with </w:t>
      </w: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(in each case as if such funds were held by the Servicer thereunder). The Administrator hereby agrees that, if, at any time following its exercise of its Lock-Box Rights, to the extent such Lock-Box Rights are being exercised by the Administrator due solely to the occurrence of the event in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above and such event has been cured for a period of not less than 60 consecutive days, unless consented to in writing by the Administrator and each Purchaser Agent, upon notice of such cure to the Administrator and each Purchaser Agent, the Administrator shall reasonably cooperate with the Seller and the Servicer to cease exercising such Lock-Box Rights within a reasonable period of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at any time the Administrator ceases to exercise its Lock-Box Rights in accordance with this sentence, such cessation shall not preclude the Administrator from exercising any or all of its Lock-Box Rights at any time following such date.</w:t>
      </w:r>
    </w:p>
    <w:p>
      <w:pPr>
        <w:spacing w:after="0" w:line="1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Enforcement Rights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 At any time following the occurrence of a Termination Event:</w:t>
      </w:r>
    </w:p>
    <w:p>
      <w:pPr>
        <w:spacing w:after="0" w:line="117" w:lineRule="exact"/>
        <w:rPr>
          <w:sz w:val="20"/>
          <w:szCs w:val="20"/>
          <w:color w:val="auto"/>
        </w:rPr>
      </w:pPr>
    </w:p>
    <w:p>
      <w:pPr>
        <w:ind w:left="440" w:firstLine="419"/>
        <w:spacing w:after="0" w:line="282" w:lineRule="auto"/>
        <w:tabs>
          <w:tab w:leader="none" w:pos="107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may (with the consent or at the direction of a Simple Majority of the Purchasers) direct the Obligors that payment of all amounts payable under any Pool Receivable is to be made directly to the Administrator or its designee;</w:t>
      </w:r>
    </w:p>
    <w:p>
      <w:pPr>
        <w:spacing w:after="0" w:line="53" w:lineRule="exact"/>
        <w:rPr>
          <w:rFonts w:ascii="Times New Roman" w:cs="Times New Roman" w:eastAsia="Times New Roman" w:hAnsi="Times New Roman"/>
          <w:sz w:val="18"/>
          <w:szCs w:val="18"/>
          <w:color w:val="auto"/>
        </w:rPr>
      </w:pPr>
    </w:p>
    <w:p>
      <w:pPr>
        <w:ind w:left="440" w:right="40" w:firstLine="419"/>
        <w:spacing w:after="0" w:line="258" w:lineRule="auto"/>
        <w:tabs>
          <w:tab w:leader="none" w:pos="112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Administrator may (with the consent or at the direction of a Simple Majority of the Purchasers) instruct the Seller or the Servicer to give notice of the Purchaser Groups’ interest in Pool Receivables to each Obligor, which notice shall direct that payments be made directly to the Administrator or its designee (on behalf of such Purchaser Groups), and the Seller or the Servicer, as the case may be, shall give such notice at the expense of the Seller or the Servicer,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Seller or the Servicer, as the case may be, fails to so notify each Obligor, the Administrator (at the Seller’s or the Servicer’s, as the case may be, expense) may so notify the Obligors; and</w:t>
      </w:r>
    </w:p>
    <w:p>
      <w:pPr>
        <w:spacing w:after="0" w:line="75"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17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may (with the consent or at the direction of a Simple Majority of the Purchasers) request the Servicer to, and upon such request the Servicer shall: (A) assemble all of the records necessary or desirable to collect the Pool Receivables and the Related Security, and transfer or license to a successor Servicer the use of all software necessary or desirable to collect the Pool Receivables and the Related Security, and make the same available to the Administrator or its designee (for the benefit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187" w:name="page188"/>
    <w:bookmarkEnd w:id="187"/>
    <w:p>
      <w:pPr>
        <w:ind w:left="440"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Purchasers) at a place selected by the Administrator, and (B) segregate all cash, checks and other instruments received by it from time to time constituting Collections in a manner acceptable to the Administrator and, promptly upon receipt, remit all such cash, checks and instruments, duly endorsed or with duly executed instruments of transfer, to the Administrator or its designee.</w:t>
      </w:r>
    </w:p>
    <w:p>
      <w:pPr>
        <w:spacing w:after="0" w:line="68" w:lineRule="exact"/>
        <w:rPr>
          <w:sz w:val="20"/>
          <w:szCs w:val="20"/>
          <w:color w:val="auto"/>
        </w:rPr>
      </w:pPr>
    </w:p>
    <w:p>
      <w:pPr>
        <w:ind w:right="20" w:firstLine="987"/>
        <w:spacing w:after="0" w:line="254" w:lineRule="auto"/>
        <w:tabs>
          <w:tab w:leader="none" w:pos="1246"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hereby authorizes the Administrator (on behalf of each Purchaser Group), and irrevocably appoints the Administrator as its attorney-in-fact with full power of substitution and with full authority in the place and stead of the Seller, which appointment is coupled with an interest, to take any and all steps in the name of the Seller and on behalf of the Seller necessary or desirable, in the determination of the Administrator, after the occurrence of a Termination Event, to collect any and all amounts or portions thereof due under any and all Pool Assets, including endorsing the name of the Seller on checks and other instruments representing Collections and enforcing such Pool Assets. Notwithstanding anything to the contrary contained in this subsection, none of the powers conferred upon such attorney-in-fact pursuant to the preceding sentence shall subject such attorney-in-fact to any liability if any action taken by it shall prove to be inadequate or invalid, nor shall they confer any obligations upon such attorney-in-fact in any manner whatsoever.</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Responsibilities of the Seller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6" w:lineRule="auto"/>
        <w:tabs>
          <w:tab w:leader="none" w:pos="1236"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herein to the contrary notwithstanding, the Seller shall: (i) perform all of its obligations, if any, under the Contracts related to the Pool Receivables to the same extent as if interests in such Pool Receivables had not been transferred hereunder, and the exercise by the Administrator, the Purchaser Agents or the Purchasers of their respective rights hereunder shall not relieve the Seller from such obligations, and (ii) pay when due any taxes, including any sales taxes payable in connection with the Pool Receivables and their creation and satisfaction. The Administrator, the Purchaser Agents or any of the Purchasers shall not have any obligation or liability with respect to any Pool Asset, nor shall any of them be obligated to perform any of the obligations of the Seller, Servicer, WESCO or the Originators thereunder.</w:t>
      </w:r>
    </w:p>
    <w:p>
      <w:pPr>
        <w:spacing w:after="0" w:line="79" w:lineRule="exact"/>
        <w:rPr>
          <w:rFonts w:ascii="Times New Roman" w:cs="Times New Roman" w:eastAsia="Times New Roman" w:hAnsi="Times New Roman"/>
          <w:sz w:val="18"/>
          <w:szCs w:val="18"/>
          <w:color w:val="auto"/>
        </w:rPr>
      </w:pPr>
    </w:p>
    <w:p>
      <w:pPr>
        <w:jc w:val="both"/>
        <w:ind w:firstLine="987"/>
        <w:spacing w:after="0" w:line="261" w:lineRule="auto"/>
        <w:tabs>
          <w:tab w:leader="none" w:pos="1246"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WESCO hereby irrevocably agrees that if at any time it shall cease to be the Servicer hereunder, it shall act (if the then-current Servicer so requests) as the data-processing agent of the Servicer and, in such capacity, WESCO shall conduct the data-processing functions of the administration of the Receivables and the Collections thereon in substantially the same way that WESCO conducted such data-processing functions while it acted as the Servicer.</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Servicing Fee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40" w:firstLine="987"/>
        <w:spacing w:after="0" w:line="261" w:lineRule="auto"/>
        <w:tabs>
          <w:tab w:leader="none" w:pos="1236"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the Seller shall pay to the Servicer a fee (the “</w:t>
      </w:r>
      <w:r>
        <w:rPr>
          <w:rFonts w:ascii="Times New Roman" w:cs="Times New Roman" w:eastAsia="Times New Roman" w:hAnsi="Times New Roman"/>
          <w:sz w:val="18"/>
          <w:szCs w:val="18"/>
          <w:u w:val="single" w:color="auto"/>
          <w:color w:val="auto"/>
        </w:rPr>
        <w:t>Servicing Fee</w:t>
      </w:r>
      <w:r>
        <w:rPr>
          <w:rFonts w:ascii="Times New Roman" w:cs="Times New Roman" w:eastAsia="Times New Roman" w:hAnsi="Times New Roman"/>
          <w:sz w:val="18"/>
          <w:szCs w:val="18"/>
          <w:color w:val="auto"/>
        </w:rPr>
        <w:t xml:space="preserve">”) for the provision of all services relating to the collection and administration of the Pool Receivables and related cash management activities, which services shall be performed by employees of the Servicer. The Servicing Fee shall be equal to 1.0% </w:t>
      </w:r>
      <w:r>
        <w:rPr>
          <w:rFonts w:ascii="Times New Roman" w:cs="Times New Roman" w:eastAsia="Times New Roman" w:hAnsi="Times New Roman"/>
          <w:sz w:val="18"/>
          <w:szCs w:val="18"/>
          <w:u w:val="single" w:color="auto"/>
          <w:color w:val="auto"/>
        </w:rPr>
        <w:t>per annum</w:t>
      </w:r>
      <w:r>
        <w:rPr>
          <w:rFonts w:ascii="Times New Roman" w:cs="Times New Roman" w:eastAsia="Times New Roman" w:hAnsi="Times New Roman"/>
          <w:sz w:val="18"/>
          <w:szCs w:val="18"/>
          <w:color w:val="auto"/>
        </w:rPr>
        <w:t xml:space="preserve"> of the aggregate Outstanding Balance of the Pool Receivables as of the last day of the prior month. Such fee shall be paid through (x) the Servicer’s retention of amounts representing the Seller’s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Share and the Purchaser Group’s Ratable Share of the Servicing Fee, and (y) otherwise, the distributions contemplated by </w:t>
      </w:r>
      <w:r>
        <w:rPr>
          <w:rFonts w:ascii="Times New Roman" w:cs="Times New Roman" w:eastAsia="Times New Roman" w:hAnsi="Times New Roman"/>
          <w:sz w:val="18"/>
          <w:szCs w:val="18"/>
          <w:u w:val="single" w:color="auto"/>
          <w:color w:val="auto"/>
        </w:rPr>
        <w:t>Section 1.4(d).</w:t>
      </w:r>
    </w:p>
    <w:p>
      <w:pPr>
        <w:spacing w:after="0" w:line="117" w:lineRule="exact"/>
        <w:rPr>
          <w:sz w:val="20"/>
          <w:szCs w:val="20"/>
          <w:color w:val="auto"/>
        </w:rPr>
      </w:pPr>
    </w:p>
    <w:p>
      <w:pPr>
        <w:ind w:right="40" w:firstLine="987"/>
        <w:spacing w:after="0" w:line="266" w:lineRule="auto"/>
        <w:tabs>
          <w:tab w:leader="none" w:pos="1246"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Servicer ceases to be WESCO or an Affiliate thereof, the servicing fee shall be the greater of: (i) the amount calculated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and (ii) an alternative amount specified by the successor Servicer not to exceed 110% of the aggregate reasonable costs and expenses incurred by such successor Servicer in connection with the performance of its obligations as Servicer.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Erroneous Payment.</w:t>
      </w:r>
    </w:p>
    <w:p>
      <w:pPr>
        <w:spacing w:after="0" w:line="117" w:lineRule="exact"/>
        <w:rPr>
          <w:sz w:val="20"/>
          <w:szCs w:val="20"/>
          <w:color w:val="auto"/>
        </w:rPr>
      </w:pPr>
    </w:p>
    <w:p>
      <w:pPr>
        <w:ind w:right="40" w:firstLine="987"/>
        <w:spacing w:after="0" w:line="253" w:lineRule="auto"/>
        <w:tabs>
          <w:tab w:leader="none" w:pos="1236"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hereby agrees that (i) if the Administrator notifies such Purchaser that the Administrator has determined in its sole discretion that any funds received by such Purchaser from the Administrator or any of its Affiliates were erroneously transmitted to, or otherwise erroneously or mistakenly received by, such Purchaser (whether or not known to such Purchaser (whether as a payment, prepayment or repayment of principal, interest, fees or otherwise); individually and collectively, an “</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and demands the return of such Erroneous Payment (or a portion thereof), such Purchaser shall promptly, but in no event later than one Business Day thereafter, return to the Administrator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Purchaser to the date such amount is repaid to the Administrator in same day funds at the greater of the Overnight Bank Funding Rate and a rate determined by the Administrator in accordance with banking industry rules on interbank compensation from time to time in effect and (ii) such Purchaser shall not assert any right or claim to the Erroneous Payment, and hereby waives any claim, counterclaim, defense or right of set-off or recoupment with respect to any demand, claim or counterclaim by the Administrator for the return of any Erroneous Payments received, including without limitation waiver of any defense based on “discharge for value” or any similar doctrine. A notice of the Administrator to any Purchaser under this clause (a) shall be conclusive, absent manifest error.</w:t>
      </w:r>
    </w:p>
    <w:p>
      <w:pPr>
        <w:spacing w:after="0" w:line="79"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each Purchaser hereby further agrees that if it receives an Erroneous Payment from the Administrator (or any of its Affiliates) (i) that is in an amount different than (other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difference), or on a different date from, that specified in a notice of payment sent by the Administrator (or any of its Affiliates) with respect to such Erroneous Payment (an “</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or (ii) that was not preceded or accompanied by an Erroneous Payment Notice, it shall be on notice that, in each such case, an error has been made with respect to such Erroneous Payment. Each Purchaser further agrees that, in each such case, or if it otherwise becomes aware an Erroneous Payment (or portion thereof) may have been sent in error, such Purchaser shall promptly notify the Administrator of such occurrence and, upon demand from the Administrator, it shall promptly, but in no event later than one (1) Business Day thereafter, return to the Administrator the amount of any such Erroneous Payment (or portion thereof) that was received by such Purchaser to the date such amount is repaid to the Administrator in same day funds at the greater of the Overnight</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40"/>
          </w:cols>
          <w:pgMar w:left="440" w:top="270" w:right="519" w:bottom="1440" w:gutter="0" w:footer="0" w:header="0"/>
        </w:sectPr>
      </w:pPr>
    </w:p>
    <w:bookmarkStart w:id="189" w:name="page190"/>
    <w:bookmarkEnd w:id="189"/>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Bank Funding Rate and a rate determined by the Administrator in accordance with banking industry rules on interbank compensation from time to time in effect.</w:t>
      </w:r>
    </w:p>
    <w:p>
      <w:pPr>
        <w:spacing w:after="0" w:line="54" w:lineRule="exact"/>
        <w:rPr>
          <w:sz w:val="20"/>
          <w:szCs w:val="20"/>
          <w:color w:val="auto"/>
        </w:rPr>
      </w:pPr>
    </w:p>
    <w:p>
      <w:pPr>
        <w:ind w:firstLine="987"/>
        <w:spacing w:after="0" w:line="256" w:lineRule="auto"/>
        <w:tabs>
          <w:tab w:leader="none" w:pos="1236"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and each other Purchaser hereby agree that (i) in the event an Erroneous Payment (or portion thereof) is not recovered from any Purchaser that has received such Erroneous Payment (or portion thereof) for any reason, the Administrator shall be subrogated to all the rights of such Purchaser with respect to such amount and (ii) an Erroneous Payment shall not pay, prepay, repay, discharge or otherwise satisfy any obligations owed by the Seller, any Originator or the Servicer, except that in each case, to the extent such Erroneous Payment is, and solely with respect to the amount of such Erroneous Payment that is, comprised of funds received by the Administrator from the Seller, any Originator or the Servicer for the purpose of making such Erroneous Payment.</w:t>
      </w:r>
    </w:p>
    <w:p>
      <w:pPr>
        <w:spacing w:after="0" w:line="79" w:lineRule="exact"/>
        <w:rPr>
          <w:rFonts w:ascii="Times New Roman" w:cs="Times New Roman" w:eastAsia="Times New Roman" w:hAnsi="Times New Roman"/>
          <w:sz w:val="18"/>
          <w:szCs w:val="18"/>
          <w:color w:val="auto"/>
        </w:rPr>
      </w:pPr>
    </w:p>
    <w:p>
      <w:pPr>
        <w:ind w:right="320" w:firstLine="987"/>
        <w:spacing w:after="0" w:line="266" w:lineRule="auto"/>
        <w:tabs>
          <w:tab w:leader="none" w:pos="1246"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party’s obligations under this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shall survive the resignation or replacement of the Administrator or any transfer of rights or obligations by, or the replacement of, a Purchaser, the termination of the Commitments or the repayment, satisfaction or discharge of all Seller’s obligations (or any portion thereof) under any Transaction Document.</w:t>
      </w:r>
    </w:p>
    <w:p>
      <w:pPr>
        <w:spacing w:after="0" w:line="1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AGENTS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Appointment and Authorization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Each Purchaser and Purchaser Agent hereby irrevocably designates and appoints PNC Bank, National Association as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hereunder and authorizes the Administrator to take such actions and to exercise such powers as are delegated to the Administrator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and to exercise such other powers as are reasonably incidental thereto. The Administrator shall hold, in its name, for the benefit of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 ratably, the Purchased Interest. The Administrator shall not have any duties other than those expressly set forth herein or any fiduciary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relationship with any Purchaser or Purchaser Agent, and no implied obligations or liabilities shall be read into this Agreement, or otherwise exist,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against the Administrator. The Administrator does not assume, nor shall it be deemed to have assumed, any obligation to, or relationship of trust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agency with, the Seller or Servicer. Notwithstanding any provision of this Agreement or any other Transaction Document to the contrary, in no event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shall the Administrator ever be required to take any action which exposes the Administrator to personal liability or which is contrary to the provision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Transaction Document or Applicable Law.</w:t>
      </w:r>
    </w:p>
    <w:p>
      <w:pPr>
        <w:spacing w:after="0" w:line="99" w:lineRule="exact"/>
        <w:rPr>
          <w:sz w:val="20"/>
          <w:szCs w:val="20"/>
          <w:color w:val="auto"/>
        </w:rPr>
      </w:pPr>
    </w:p>
    <w:p>
      <w:pPr>
        <w:ind w:firstLine="987"/>
        <w:spacing w:after="0" w:line="256" w:lineRule="auto"/>
        <w:tabs>
          <w:tab w:leader="none" w:pos="1246"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hereby irrevocably designates and appoints the respective institution identified as the Purchaser Agent for such Purchaser’s Purchaser Group on the signature pages hereto or in the Assumption Agreement or Transfer Supplement pursuant to which such Purchaser becomes a party hereto, and each authorizes such Purchaser Agent to take such action on its behalf under the provisions of this Agreement and to exercise such powers and perform such duties as are expressly delegated to such Purchaser Agent by the terms of this Agreement, if any, together with such other powers as are reasonably incidental thereto. Notwithstanding any provision to the contrary elsewhere in this Agreement, no Purchaser Agent shall have any duties or responsibilities, except those expressly set forth herein, or any fiduciary</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00"/>
          </w:cols>
          <w:pgMar w:left="440" w:top="270" w:right="559" w:bottom="1440" w:gutter="0" w:footer="0" w:header="0"/>
        </w:sectPr>
      </w:pPr>
    </w:p>
    <w:bookmarkStart w:id="190" w:name="page191"/>
    <w:bookmarkEnd w:id="190"/>
    <w:p>
      <w:pPr>
        <w:ind w:left="4" w:right="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relationship with any Purchaser or other Purchaser Agent or the Administrator, and no implied covenants, functions, responsibilities, duties, obligations or liabilities on the part of such Purchaser Agent shall be read into this Agreement or otherwise exist against such Purchaser Agent.</w:t>
      </w:r>
    </w:p>
    <w:p>
      <w:pPr>
        <w:spacing w:after="0" w:line="54" w:lineRule="exact"/>
        <w:rPr>
          <w:sz w:val="20"/>
          <w:szCs w:val="20"/>
          <w:color w:val="auto"/>
        </w:rPr>
      </w:pPr>
    </w:p>
    <w:p>
      <w:pPr>
        <w:ind w:left="4" w:firstLine="987"/>
        <w:spacing w:after="0" w:line="256" w:lineRule="auto"/>
        <w:tabs>
          <w:tab w:leader="none" w:pos="124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specifically provided in this Agreement, the provisions of this Article V are solely for the benefit of the Purchaser Agents, the Administrator and the Purchasers, and none of the Seller or Servicer shall have any rights as a third-party beneficiary or otherwise under any of the provisions of this Article V, except that this Article V shall not affect any obligations which any Purchaser Agent, the Administrator or any Purchaser may have to the Seller or the Servicer under the other provisions of this Agreement. Furthermore, no Purchaser shall have any rights as a third-party beneficiary or otherwise under any of the provisions hereof in respect of a Purchaser Agent which is not the Purchaser Agent for such Purchaser.</w:t>
      </w:r>
    </w:p>
    <w:p>
      <w:pPr>
        <w:spacing w:after="0" w:line="79" w:lineRule="exact"/>
        <w:rPr>
          <w:rFonts w:ascii="Times New Roman" w:cs="Times New Roman" w:eastAsia="Times New Roman" w:hAnsi="Times New Roman"/>
          <w:sz w:val="18"/>
          <w:szCs w:val="18"/>
          <w:color w:val="auto"/>
        </w:rPr>
      </w:pPr>
    </w:p>
    <w:p>
      <w:pPr>
        <w:ind w:left="4" w:right="20" w:firstLine="987"/>
        <w:spacing w:after="0" w:line="258" w:lineRule="auto"/>
        <w:tabs>
          <w:tab w:leader="none" w:pos="125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performing its functions and duties hereunder, the Administrator shall act solely as the agent of the Purchasers and the Purchaser Agents and does not assume nor shall be deemed to have assumed any obligation or relationship of trust or agency with or for the Seller or Servicer or any of their successors and assigns. In performing its functions and duties hereunder, each Purchaser Agent shall act solely as the agent of its respective Purchaser and does not assume nor shall be deemed to have assumed any obligation or relationship of trust or agency with or for the Seller, the Servicer, any other Purchaser, any other Purchaser Agent or the Administrator, or any of their respective successors and assigns.</w:t>
      </w:r>
    </w:p>
    <w:p>
      <w:pPr>
        <w:spacing w:after="0" w:line="183" w:lineRule="exact"/>
        <w:rPr>
          <w:sz w:val="20"/>
          <w:szCs w:val="20"/>
          <w:color w:val="auto"/>
        </w:rPr>
      </w:pPr>
    </w:p>
    <w:p>
      <w:pPr>
        <w:ind w:left="4"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The Administrator may execute any of its duties through agents or attorneys-in-fact and shall be entitled to advice of counsel concerning all matters pertaining to such duties. The Administrator shall not be responsible for the negligence or misconduct of any agents or attorneys-in-fact selected by it with reasonable care.</w:t>
      </w:r>
    </w:p>
    <w:p>
      <w:pPr>
        <w:spacing w:after="0" w:line="176"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Exculpatory Provisions</w:t>
      </w:r>
      <w:r>
        <w:rPr>
          <w:rFonts w:ascii="Times New Roman" w:cs="Times New Roman" w:eastAsia="Times New Roman" w:hAnsi="Times New Roman"/>
          <w:sz w:val="18"/>
          <w:szCs w:val="18"/>
          <w:color w:val="auto"/>
        </w:rPr>
        <w:t>. None of the Purchaser Agents, the Administrator or any of their directors, officers, agents or employees shall be liable for any action taken or omitted (i) with the consent or at the direction of the Majority Purchasers (or in the case of any Purchaser Agent, the Purchasers within its Purchaser Group that have a majority of the aggregate Commitment of such Purchaser Group) or (ii) in the absence of such Person’s gross negligence or willful misconduct. The Administrator shall not be responsible to any Purchaser, Purchaser Agent or other Person for</w:t>
      </w:r>
    </w:p>
    <w:p>
      <w:pPr>
        <w:spacing w:after="0" w:line="3" w:lineRule="exact"/>
        <w:rPr>
          <w:sz w:val="20"/>
          <w:szCs w:val="20"/>
          <w:color w:val="auto"/>
        </w:rPr>
      </w:pPr>
    </w:p>
    <w:p>
      <w:pPr>
        <w:ind w:left="4" w:hanging="4"/>
        <w:spacing w:after="0" w:line="253" w:lineRule="auto"/>
        <w:tabs>
          <w:tab w:leader="none" w:pos="219"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recitals, representations, warranties or other statements made by the Seller, Servicer, or any of their Affiliates, (ii) the value, validity, effectiveness, genuineness, enforceability or sufficiency of any Transaction Document, (iii) any failure of the Seller, any Originator or any of their Affiliates to perform any obligation or (iv) the satisfaction of any condition specified in </w:t>
      </w:r>
      <w:r>
        <w:rPr>
          <w:rFonts w:ascii="Times New Roman" w:cs="Times New Roman" w:eastAsia="Times New Roman" w:hAnsi="Times New Roman"/>
          <w:sz w:val="18"/>
          <w:szCs w:val="18"/>
          <w:u w:val="single" w:color="auto"/>
          <w:color w:val="auto"/>
        </w:rPr>
        <w:t>Exhibit II</w:t>
      </w:r>
      <w:r>
        <w:rPr>
          <w:rFonts w:ascii="Times New Roman" w:cs="Times New Roman" w:eastAsia="Times New Roman" w:hAnsi="Times New Roman"/>
          <w:sz w:val="18"/>
          <w:szCs w:val="18"/>
          <w:color w:val="auto"/>
        </w:rPr>
        <w:t>. The Administrator shall not have any obligation to any Purchaser or Purchaser Agent to ascertain or inquire about the observance or performance of any agreement contained in any Transaction Document or to inspect the properties, books or records of the Seller, Servicer, Originator or any of their Affiliates.</w:t>
      </w:r>
    </w:p>
    <w:p>
      <w:pPr>
        <w:spacing w:after="0" w:line="187"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Reliance by Agents</w:t>
      </w:r>
      <w:r>
        <w:rPr>
          <w:rFonts w:ascii="Times New Roman" w:cs="Times New Roman" w:eastAsia="Times New Roman" w:hAnsi="Times New Roman"/>
          <w:sz w:val="18"/>
          <w:szCs w:val="18"/>
          <w:color w:val="auto"/>
        </w:rPr>
        <w:t>. Each Purchaser Agent and the Administrator shall in all cases be entitled to rely, and shall be fully protected in relying, upon any document or other writing or conversation believed by it to be genuine and correct and to have been signed, sent or</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84"/>
          </w:cols>
          <w:pgMar w:left="436" w:top="270" w:right="479" w:bottom="1440" w:gutter="0" w:footer="0" w:header="0"/>
        </w:sectPr>
      </w:pPr>
    </w:p>
    <w:bookmarkStart w:id="191" w:name="page192"/>
    <w:bookmarkEnd w:id="191"/>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made by the proper Person and upon advice and statements of legal counsel (including counsel to the Seller), independent accountants and other experts selected by the Administrator. Each Purchaser Agent and the Administrator shall in all cases be fully justified in failing or refusing to take any action under any Transaction Document unless it shall first receive such advice or concurrence of the Majority Purchasers (or in the case of any Purchaser Agent, the Purchasers within its Purchaser Group that have a majority of the aggregate Commitment of such Purchaser Group), and assurance of its indemnification, as it deems appropriate.</w:t>
      </w:r>
    </w:p>
    <w:p>
      <w:pPr>
        <w:spacing w:after="0" w:line="75" w:lineRule="exact"/>
        <w:rPr>
          <w:sz w:val="20"/>
          <w:szCs w:val="20"/>
          <w:color w:val="auto"/>
        </w:rPr>
      </w:pPr>
    </w:p>
    <w:p>
      <w:pPr>
        <w:ind w:firstLine="987"/>
        <w:spacing w:after="0" w:line="266" w:lineRule="auto"/>
        <w:tabs>
          <w:tab w:leader="none" w:pos="123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shall in all cases be fully protected in acting, or in refraining from acting, under this Agreement in accordance with a request of the Majority Purchasers or the Purchaser Agents, and such request and any action taken or failure to act pursuant thereto shall be binding upon all Purchasers, the Administrator and Purchaser Agents.</w:t>
      </w:r>
    </w:p>
    <w:p>
      <w:pPr>
        <w:spacing w:after="0" w:line="67" w:lineRule="exact"/>
        <w:rPr>
          <w:rFonts w:ascii="Times New Roman" w:cs="Times New Roman" w:eastAsia="Times New Roman" w:hAnsi="Times New Roman"/>
          <w:sz w:val="18"/>
          <w:szCs w:val="18"/>
          <w:color w:val="auto"/>
        </w:rPr>
      </w:pPr>
    </w:p>
    <w:p>
      <w:pPr>
        <w:ind w:right="160" w:firstLine="987"/>
        <w:spacing w:after="0" w:line="258" w:lineRule="auto"/>
        <w:tabs>
          <w:tab w:leader="none" w:pos="124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Purchasers within each Purchaser Group with a majority of the Commitment of such Purchaser Group shall be entitled to request or direct the related Purchaser Agent to take action, or refrain from taking action, under this Agreement on behalf of such Purchasers. Such Purchaser Agent shall in all cases be fully protected in acting, or in refraining from acting, under this Agreement in accordance with a request of such Purchasers with such majority, and such request and any action taken or failure to act pursuant thereto shall be binding upon all of such Purchaser Agent’s Purchasers.</w:t>
      </w:r>
    </w:p>
    <w:p>
      <w:pPr>
        <w:spacing w:after="0" w:line="75" w:lineRule="exact"/>
        <w:rPr>
          <w:rFonts w:ascii="Times New Roman" w:cs="Times New Roman" w:eastAsia="Times New Roman" w:hAnsi="Times New Roman"/>
          <w:sz w:val="18"/>
          <w:szCs w:val="18"/>
          <w:color w:val="auto"/>
        </w:rPr>
      </w:pPr>
    </w:p>
    <w:p>
      <w:pPr>
        <w:ind w:right="200" w:firstLine="987"/>
        <w:spacing w:after="0" w:line="256" w:lineRule="auto"/>
        <w:tabs>
          <w:tab w:leader="none" w:pos="123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advised in writing by a Purchaser Agent or by any Purchaser on whose behalf such Purchaser Agent is purportedly acting, each party to this Agreement may assume that (i) such Purchaser Agent is acting for the benefit of each of the Purchasers in respect of which such Purchaser Agent is identified as being the “Purchaser Agent” in the definition of “Purchaser Agent” hereto, as well as for the benefit of each assignee or other transferee from any such Person, and (ii) each action taken by such Purchaser Agent has been duly authorized and approved by all necessary action on the part of the Purchasers on whose behalf it is purportedly acting. Each Purchaser Agent and its Purchaser(s) shall agree amongst themselves as to the circumstances and procedures for removal, resignation and replacement of such Purchaser Agent.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5.5.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72" w:lineRule="auto"/>
        <w:rPr>
          <w:sz w:val="20"/>
          <w:szCs w:val="20"/>
          <w:color w:val="auto"/>
        </w:rPr>
      </w:pPr>
      <w:r>
        <w:rPr>
          <w:rFonts w:ascii="Times New Roman" w:cs="Times New Roman" w:eastAsia="Times New Roman" w:hAnsi="Times New Roman"/>
          <w:sz w:val="17"/>
          <w:szCs w:val="17"/>
          <w:color w:val="auto"/>
        </w:rPr>
        <w:t xml:space="preserve">Section 5.6. </w:t>
      </w:r>
      <w:r>
        <w:rPr>
          <w:rFonts w:ascii="Times New Roman" w:cs="Times New Roman" w:eastAsia="Times New Roman" w:hAnsi="Times New Roman"/>
          <w:sz w:val="17"/>
          <w:szCs w:val="17"/>
          <w:u w:val="single" w:color="auto"/>
          <w:color w:val="auto"/>
        </w:rPr>
        <w:t>Notice of Termination Events</w:t>
      </w:r>
      <w:r>
        <w:rPr>
          <w:rFonts w:ascii="Times New Roman" w:cs="Times New Roman" w:eastAsia="Times New Roman" w:hAnsi="Times New Roman"/>
          <w:sz w:val="17"/>
          <w:szCs w:val="17"/>
          <w:color w:val="auto"/>
        </w:rPr>
        <w:t>. Neither any Purchaser Agent nor the Administrator shall be deemed to have knowledge or notice of the occurrence of any Termination Event or Unmatured Termination Event unless such Administrator has received notice from any Purchaser, Purchaser Agent, the Servicer or the Seller stating that a Termination Event or Unmatured Termination Event has occurred hereunder and describing such Termination Event or Unmatured Termination Event. In the event that the Administrator receives such a notice, it shall promptly give notice thereof to each Purchaser Agent whereupon each such Purchaser Agent shall promptly give notice thereof to its Purchasers. In the event that a Purchaser Agent receives such a notice (other than from the Administrator), it shall promptly give notice thereof to the Administrator. The Administrator shall take such action concerning a Termination Event or Unmatured Termination Event as may be directed by the Majority Purchasers unless such action otherwise requires the consent of all Purchasers), but until the Administrator receives such directions, the Administrator may (but shall not be obligated to) take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action, or refrain from taking such action, as the Administrator deems advisable and in the best interests of the Purchasers and Purchaser Agents.</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Non-Reliance on Administrator, Purchaser Agents and Other Purchasers</w:t>
      </w:r>
      <w:r>
        <w:rPr>
          <w:rFonts w:ascii="Times New Roman" w:cs="Times New Roman" w:eastAsia="Times New Roman" w:hAnsi="Times New Roman"/>
          <w:sz w:val="18"/>
          <w:szCs w:val="18"/>
          <w:color w:val="auto"/>
        </w:rPr>
        <w:t>. Each Purchaser expressly acknowledges that none of the Administrator, the Purchaser Agents nor any of their respective officers, directors, employees, agents, attorneys-in-fact or Affiliates has made any representations or warranties to it and that no act by the Administrator, or any Purchaser Agent hereafter taken, including any review of the affairs of the Seller, WESCO, Servicer or any Originator, shall be deemed to constitute any representation or warranty by the Administrator or such Purchaser Agent, as applicable. Each Purchaser represents and warrants to the Administrator and the Purchaser Agents that, independently and without reliance upon the Administrator, Purchaser Agents or any other Purchaser and based on such documents and information as it has deemed appropriate, it has made and will continue to make its own appraisal of and investigation into the business, operations, property, prospects, financial and other conditions and creditworthiness of the Seller, WESCO, Servicer or the Originators, and the Receivables and its own decision to enter into this Agreement and to take, or omit, action under any Transaction Document. Except for items specifically required to be delivered hereunder, the Administrator shall not have any duty or responsibility to provide any Purchaser Agent with any information concerning the Seller, WESCO, Servicer or the Originators or any of their Affiliates that comes into the possession of the Administrator or any of its officers, directors, employees, agents, attorneys-in-fact or Affiliates.</w:t>
      </w:r>
    </w:p>
    <w:p>
      <w:pPr>
        <w:spacing w:after="0" w:line="192"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Administrators and Affiliates</w:t>
      </w:r>
      <w:r>
        <w:rPr>
          <w:rFonts w:ascii="Times New Roman" w:cs="Times New Roman" w:eastAsia="Times New Roman" w:hAnsi="Times New Roman"/>
          <w:sz w:val="18"/>
          <w:szCs w:val="18"/>
          <w:color w:val="auto"/>
        </w:rPr>
        <w:t>. Each of the Purchasers and the Administrator and their Affiliates may extend credit to, accept deposits from and generally engage in any kind of banking, trust, debt, entity or other business with the Seller, WESCO, Servicer or any Originator or any of their Affiliates and PNC Bank, National Association may exercise or refrain from exercising its rights and powers as if it were not the Administrator. With respect to the acquisition of the Eligible Receivables pursuant to this Agreement, each of the Purchaser Agents and the Administrator shall have the same rights and powers under this Agreement as any Purchaser and may exercise the same as though it were not such an agent, and the terms “Purchaser” and “Purchasers” shall include each of the Purchaser Agents and the Administrator in their individual capacities.</w:t>
      </w:r>
    </w:p>
    <w:p>
      <w:pPr>
        <w:spacing w:after="0" w:line="187"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Each Purchaser Group shall indemnify and hold harmless the Administrator (but solely in its capacity as Administrator) and its officers, directors, employees, representatives and agents (to the extent not reimbursed by the Seller, WESCO or Servicer and without limiting the obligation of the Seller, WESCO or Servicer to do so), ratably in accordance with its Ratable Share from and against any and all liabilities, obligations, losses, damages, penalties, judgments, settlements, costs, expenses and disbursements of any kind whatsoever (including in connection with any investigative or threatened proceeding, whether or not the Administrator or such Person shall be designated a party thereto) that may at any time be imposed on, incurred by or asserted against the Administrator or such Person as a result of, or related to, any of the transactions contemplated by the Transaction Documents or the execution, delivery or performance of the Transaction Documents or any other document furnished in connection therewith (but excluding any such liabilities, obligations, losses, damages, penalties, judgments, settlements, costs, expenses or disbursements resulting solely from the gross negligence or willful misconduct of the Administrator or such Person as finally determined by a</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60"/>
          </w:cols>
          <w:pgMar w:left="440" w:top="270" w:right="499" w:bottom="1440" w:gutter="0" w:footer="0" w:header="0"/>
        </w:sectPr>
      </w:pPr>
    </w:p>
    <w:bookmarkStart w:id="193" w:name="page194"/>
    <w:bookmarkEnd w:id="193"/>
    <w:p>
      <w:pPr>
        <w:ind w:left="4" w:right="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case of each Purchaser that is a Conduit Purchaser, such indemnity shall be provided solely by the Committed Purchaser in such Conduit Purchaser’s Purchaser Group.</w:t>
      </w:r>
    </w:p>
    <w:p>
      <w:pPr>
        <w:spacing w:after="0" w:line="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Successor Administrator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40" w:firstLine="987"/>
        <w:spacing w:after="0" w:line="255" w:lineRule="auto"/>
        <w:tabs>
          <w:tab w:leader="none" w:pos="124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may, upon at least five (5) days’ notice to the Seller and each Purchaser and Purchaser Agent, resign as Administrator. Except as provided below, such resignation shall not become effective until a successor agent is appointed by the Majority Purchasers and has accepted such appointment. If no successor Administrator shall have been so appointed by the Majority Purchasers, within thirty (30) days after the departing Administrator’s giving of notice of resignation, the departing Administrator may appoint a successor Administrator as successor Administrator. If no successor Administrator shall have been so appointed by the Majority Purchasers within sixty (60) days after the departing Administrator’s giving of notice of resignation, the departing Administrator may petition a court of competent jurisdiction to appoint a successor Administrator.</w:t>
      </w:r>
    </w:p>
    <w:p>
      <w:pPr>
        <w:spacing w:after="0" w:line="80" w:lineRule="exact"/>
        <w:rPr>
          <w:rFonts w:ascii="Times New Roman" w:cs="Times New Roman" w:eastAsia="Times New Roman" w:hAnsi="Times New Roman"/>
          <w:sz w:val="18"/>
          <w:szCs w:val="18"/>
          <w:color w:val="auto"/>
        </w:rPr>
      </w:pPr>
    </w:p>
    <w:p>
      <w:pPr>
        <w:ind w:left="4" w:firstLine="987"/>
        <w:spacing w:after="0" w:line="261" w:lineRule="auto"/>
        <w:tabs>
          <w:tab w:leader="none" w:pos="125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such acceptance of its appointment as Administrator hereunder by a successor Administrator, such successor Administrator shall succeed to and become vested with all the rights and duties of the retiring Administrator, and the retiring Administrator shall be discharged from its duties and obligations under the Transaction Documents. After any retiring Administrator’s resignation hereunder, the provisions of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and this Article V shall inure to its benefit as to any actions taken or omitted to be taken by it while it was the Administrator.</w:t>
      </w:r>
    </w:p>
    <w:p>
      <w:pPr>
        <w:spacing w:after="0" w:line="17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left="4" w:right="100" w:firstLine="440"/>
        <w:spacing w:after="0" w:line="268" w:lineRule="auto"/>
        <w:rPr>
          <w:sz w:val="20"/>
          <w:szCs w:val="20"/>
          <w:color w:val="auto"/>
        </w:rPr>
      </w:pPr>
      <w:r>
        <w:rPr>
          <w:rFonts w:ascii="Times New Roman" w:cs="Times New Roman" w:eastAsia="Times New Roman" w:hAnsi="Times New Roman"/>
          <w:sz w:val="17"/>
          <w:szCs w:val="17"/>
          <w:color w:val="auto"/>
        </w:rPr>
        <w:t xml:space="preserve">Section 6.1. </w:t>
      </w:r>
      <w:r>
        <w:rPr>
          <w:rFonts w:ascii="Times New Roman" w:cs="Times New Roman" w:eastAsia="Times New Roman" w:hAnsi="Times New Roman"/>
          <w:sz w:val="17"/>
          <w:szCs w:val="17"/>
          <w:u w:val="single" w:color="auto"/>
          <w:color w:val="auto"/>
        </w:rPr>
        <w:t>Amendments, Etc</w:t>
      </w:r>
      <w:r>
        <w:rPr>
          <w:rFonts w:ascii="Times New Roman" w:cs="Times New Roman" w:eastAsia="Times New Roman" w:hAnsi="Times New Roman"/>
          <w:sz w:val="17"/>
          <w:szCs w:val="17"/>
          <w:color w:val="auto"/>
        </w:rPr>
        <w:t xml:space="preserve">. No amendment or waiver of any provision of this Agreement or any other Transaction Document, or consent to any departure by the Seller or the Servicer therefrom, shall be effective unless in a writing signed by the Administrator and each of the Majority Purchasers, and, in the case of any amendment, by the other parties thereto; and then such amendment, waiver or consent shall be effective only in the specific instance and for the specific purpose for which given;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no such amendment or waiver shall, without the consent of each affected Purchaser, (A) extend the date of any payment or deposit of Collections by the Seller or the Servicer, (B) reduce the rate or extend the time of payment of Discount, (C) reduce any fees payable to the Administrator, any Purchaser Agent or any Purchaser pursuant to the applicable Purchaser Group Fee Letter, (D) change the amount of Investment of any Purchaser, any Purchaser’s pro rata share of the Purchased Interest or any Committed Purchaser’s Commitment, (E) amend, modify or waive any provision of the definition of “Majority Purchaser”, “Simple Majority” or this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w:t>
      </w:r>
    </w:p>
    <w:p>
      <w:pPr>
        <w:ind w:left="4" w:hanging="4"/>
        <w:spacing w:after="0" w:line="253" w:lineRule="auto"/>
        <w:tabs>
          <w:tab w:leader="none" w:pos="269"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or permit the assignment or transfer by the Seller of any of its rights and obligations under this Agreement, (G) change the definition of “Default Ratio”, “Eligible Receivable”, “Loss Reserve”, “Loss Reserve Percentage”, “Dilution Reserve”, “Dilution Reserve Percentage”, “Dilution Volatility Component”, “Minimum Dilution Reserve”, “Minimum Dilution Reserve Percentage”, “Termination Event”, “Yield Reserve”, “Yield Reserve Percentage”, “Total Reserves”, “Adjusted Net Receivables Pool Balance” or “Net Receivables Pool Balance”, (H)</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84"/>
          </w:cols>
          <w:pgMar w:left="436" w:top="270" w:right="479" w:bottom="1440" w:gutter="0" w:footer="0" w:header="0"/>
        </w:sectPr>
      </w:pPr>
    </w:p>
    <w:bookmarkStart w:id="194" w:name="page195"/>
    <w:bookmarkEnd w:id="194"/>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amend or modify any defined term (or any defined term used directly or indirectly in such defined term) used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above in a manner that would circumvent the intention of the restrictions set forth in such clauses, or (I) otherwise materially and adversely affect the rights of any such Purchaser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 no amendment or waiver of any provision of any Lock-Box Agreement or the Lock-Box Schedule Letter Agreement shall require the consent of any Purchaser (other than the Administrator) and (ii) no amendment to the Sale Agreement joining any Subject Originator to the Sale Agreement as an Originator shall require the consent of any Purchaser (other than the Administrator) so long as either (x) the Joinder Conditions are satisfied or (y) the agreement joining such Subject Originator states that the Receivables of such Originator shall be deemed to be Ineligible Subject Originator Receivables. No failure on the part of the Purchasers or the Administrator to exercise, and no delay in exercising any right hereunder shall operate as a waiver thereof, nor shall any single or partial exercise of any right hereunder preclude any other or further exercise thereof or the exercise of any other right.</w:t>
      </w:r>
    </w:p>
    <w:p>
      <w:pPr>
        <w:spacing w:after="0" w:line="188" w:lineRule="exact"/>
        <w:rPr>
          <w:sz w:val="20"/>
          <w:szCs w:val="20"/>
          <w:color w:val="auto"/>
        </w:rPr>
      </w:pPr>
    </w:p>
    <w:p>
      <w:pPr>
        <w:ind w:right="80" w:firstLine="440"/>
        <w:spacing w:after="0" w:line="274" w:lineRule="auto"/>
        <w:rPr>
          <w:sz w:val="20"/>
          <w:szCs w:val="20"/>
          <w:color w:val="auto"/>
        </w:rPr>
      </w:pPr>
      <w:r>
        <w:rPr>
          <w:rFonts w:ascii="Times New Roman" w:cs="Times New Roman" w:eastAsia="Times New Roman" w:hAnsi="Times New Roman"/>
          <w:sz w:val="17"/>
          <w:szCs w:val="17"/>
          <w:color w:val="auto"/>
        </w:rPr>
        <w:t xml:space="preserve">Section 6.2. </w:t>
      </w:r>
      <w:r>
        <w:rPr>
          <w:rFonts w:ascii="Times New Roman" w:cs="Times New Roman" w:eastAsia="Times New Roman" w:hAnsi="Times New Roman"/>
          <w:sz w:val="17"/>
          <w:szCs w:val="17"/>
          <w:u w:val="single" w:color="auto"/>
          <w:color w:val="auto"/>
        </w:rPr>
        <w:t>Notices, Etc</w:t>
      </w:r>
      <w:r>
        <w:rPr>
          <w:rFonts w:ascii="Times New Roman" w:cs="Times New Roman" w:eastAsia="Times New Roman" w:hAnsi="Times New Roman"/>
          <w:sz w:val="17"/>
          <w:szCs w:val="17"/>
          <w:color w:val="auto"/>
        </w:rPr>
        <w:t xml:space="preserve">. All notices and other communications provided for hereunder shall, unless otherwise stated herein, be in writing (including facsimile or electronic mail communication) and shall be delivered or sent by facsimile, electronic mail or by overnight mail, to the intended party at the mailing or electronic mail address or facsimile number of such party set forth under its name on </w:t>
      </w:r>
      <w:r>
        <w:rPr>
          <w:rFonts w:ascii="Times New Roman" w:cs="Times New Roman" w:eastAsia="Times New Roman" w:hAnsi="Times New Roman"/>
          <w:sz w:val="17"/>
          <w:szCs w:val="17"/>
          <w:u w:val="single" w:color="auto"/>
          <w:color w:val="auto"/>
        </w:rPr>
        <w:t>Schedule IV</w:t>
      </w:r>
      <w:r>
        <w:rPr>
          <w:rFonts w:ascii="Times New Roman" w:cs="Times New Roman" w:eastAsia="Times New Roman" w:hAnsi="Times New Roman"/>
          <w:sz w:val="17"/>
          <w:szCs w:val="17"/>
          <w:color w:val="auto"/>
        </w:rPr>
        <w:t xml:space="preserve"> hereof (or in any Assignment Agreement or other document or agreement pursuant to which it is or became a party hereto), or at such other address or facsimile number as shall be designated by such party in a written notice to the other parties hereto. All such notices and communications shall be effective (i) if delivered by overnight mail, when received, and (ii) if transmitted by facsimile or electronic mail, when sent, receipt confirmed by telephone or electronic means.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Successors and Assigns; Participations; Assignments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66" w:lineRule="auto"/>
        <w:tabs>
          <w:tab w:leader="none" w:pos="1236"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hereto and their respective successors and assigns. Except as otherwise provided herein, the Seller may not assign or transfer any of its rights or delegate any of its duties hereunder or under any Transaction Document without the prior consent of the Administrator, the Purchaser Agents and the Purchasers.</w:t>
      </w:r>
    </w:p>
    <w:p>
      <w:pPr>
        <w:spacing w:after="0" w:line="67" w:lineRule="exact"/>
        <w:rPr>
          <w:rFonts w:ascii="Times New Roman" w:cs="Times New Roman" w:eastAsia="Times New Roman" w:hAnsi="Times New Roman"/>
          <w:sz w:val="18"/>
          <w:szCs w:val="18"/>
          <w:color w:val="auto"/>
        </w:rPr>
      </w:pPr>
    </w:p>
    <w:p>
      <w:pPr>
        <w:ind w:right="280" w:firstLine="987"/>
        <w:spacing w:after="0" w:line="256" w:lineRule="auto"/>
        <w:tabs>
          <w:tab w:leader="none" w:pos="1246"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Any Purchaser may sell to one or more Persons (each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participating interests in the interests of such Purchaser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no Purchaser shall grant any participation under which the Participant shall have rights to approve any amendment to or waiver of this Agreement or any other Transaction Document. Such Purchaser shall remain solely responsible for performing its obligations hereunder, and the Seller, each Purchaser Agent and the Administrator shall continue to deal solely and directly with such Purchaser in connection with such Purchaser’s rights and obligations hereunder. A Purchaser shall not agree with a Participant to restrict such Purchaser’s right to agree to any amendment hereto, except amendments that require the consent of all Purchasers.</w:t>
      </w:r>
    </w:p>
    <w:p>
      <w:pPr>
        <w:spacing w:after="0" w:line="79" w:lineRule="exact"/>
        <w:rPr>
          <w:rFonts w:ascii="Times New Roman" w:cs="Times New Roman" w:eastAsia="Times New Roman" w:hAnsi="Times New Roman"/>
          <w:sz w:val="18"/>
          <w:szCs w:val="18"/>
          <w:color w:val="auto"/>
        </w:rPr>
      </w:pPr>
    </w:p>
    <w:p>
      <w:pPr>
        <w:ind w:right="300" w:firstLine="987"/>
        <w:spacing w:after="0" w:line="282" w:lineRule="auto"/>
        <w:tabs>
          <w:tab w:leader="none" w:pos="1236"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 by Certain Committed Purchasers</w:t>
      </w:r>
      <w:r>
        <w:rPr>
          <w:rFonts w:ascii="Times New Roman" w:cs="Times New Roman" w:eastAsia="Times New Roman" w:hAnsi="Times New Roman"/>
          <w:sz w:val="18"/>
          <w:szCs w:val="18"/>
          <w:color w:val="auto"/>
        </w:rPr>
        <w:t>. Any Committed Purchaser may assign to one or more Persons (each a “</w:t>
      </w:r>
      <w:r>
        <w:rPr>
          <w:rFonts w:ascii="Times New Roman" w:cs="Times New Roman" w:eastAsia="Times New Roman" w:hAnsi="Times New Roman"/>
          <w:sz w:val="18"/>
          <w:szCs w:val="18"/>
          <w:u w:val="single" w:color="auto"/>
          <w:color w:val="auto"/>
        </w:rPr>
        <w:t>Purchasing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Committed Purchaser</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80"/>
          </w:cols>
          <w:pgMar w:left="440" w:top="270" w:right="479" w:bottom="1440" w:gutter="0" w:footer="0" w:header="0"/>
        </w:sectPr>
      </w:pPr>
    </w:p>
    <w:bookmarkStart w:id="195" w:name="page196"/>
    <w:bookmarkEnd w:id="19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reasonably acceptable to the related Purchaser Agent in its sole discretion, any portion of its Commitment pursuant to a supplement hereto, substantially in the form of </w:t>
      </w:r>
      <w:r>
        <w:rPr>
          <w:rFonts w:ascii="Times New Roman" w:cs="Times New Roman" w:eastAsia="Times New Roman" w:hAnsi="Times New Roman"/>
          <w:sz w:val="18"/>
          <w:szCs w:val="18"/>
          <w:u w:val="single" w:color="auto"/>
          <w:color w:val="auto"/>
        </w:rPr>
        <w:t>Annex E</w:t>
      </w:r>
      <w:r>
        <w:rPr>
          <w:rFonts w:ascii="Times New Roman" w:cs="Times New Roman" w:eastAsia="Times New Roman" w:hAnsi="Times New Roman"/>
          <w:sz w:val="18"/>
          <w:szCs w:val="18"/>
          <w:color w:val="auto"/>
        </w:rPr>
        <w:t xml:space="preserve"> with any changes as have been approved by the parties thereto (a “</w:t>
      </w:r>
      <w:r>
        <w:rPr>
          <w:rFonts w:ascii="Times New Roman" w:cs="Times New Roman" w:eastAsia="Times New Roman" w:hAnsi="Times New Roman"/>
          <w:sz w:val="18"/>
          <w:szCs w:val="18"/>
          <w:u w:val="single" w:color="auto"/>
          <w:color w:val="auto"/>
        </w:rPr>
        <w:t>Transfer Supplement</w:t>
      </w:r>
      <w:r>
        <w:rPr>
          <w:rFonts w:ascii="Times New Roman" w:cs="Times New Roman" w:eastAsia="Times New Roman" w:hAnsi="Times New Roman"/>
          <w:sz w:val="18"/>
          <w:szCs w:val="18"/>
          <w:color w:val="auto"/>
        </w:rPr>
        <w:t>”), executed by each such Purchasing Committed Purchaser, such selling Committed Purchaser, such related Purchaser Agent. Any such assignment by a Committed Purchaser cannot be for an amount less than the lesser of $30,000,000 and the amount of such Committed Purchaser’s Commitment. Upon (i) the execution of the Transfer Supplement, (ii) delivery of an executed copy thereof to the Seller, such related Purchaser Agent and the Administrator and (iii) payment by the Purchasing Committed Purchaser to the selling Committed Purchaser of the agreed purchase price, such selling Committed Purchaser shall be released from its obligations hereunder to the extent of such assignment and such Purchasing Committed Purchaser shall for all purposes be a Committed Purchaser party hereto and shall have all the rights and obligations of a Committed Purchaser hereunder to the same extent as if it were an original party hereto. The amount of the Commitment of the selling Committed Purchaser allocable to such Purchasing Committed Purchaser shall be equal to the amount of the Commitment of the selling Committed Purchaser transferred regardless of the purchase price paid therefor. The Transfer Supplement shall be an amendment hereof only to the extent necessary to reflect the addition of such Purchasing Committed Purchaser as a “Committed Purchaser” and any resulting adjustment of the selling Committed Purchaser’s Commitment.</w:t>
      </w:r>
    </w:p>
    <w:p>
      <w:pPr>
        <w:spacing w:after="0" w:line="82" w:lineRule="exact"/>
        <w:rPr>
          <w:sz w:val="20"/>
          <w:szCs w:val="20"/>
          <w:color w:val="auto"/>
        </w:rPr>
      </w:pPr>
    </w:p>
    <w:p>
      <w:pPr>
        <w:ind w:left="1240" w:hanging="253"/>
        <w:spacing w:after="0"/>
        <w:tabs>
          <w:tab w:leader="none" w:pos="124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987"/>
        <w:spacing w:after="0" w:line="253" w:lineRule="auto"/>
        <w:tabs>
          <w:tab w:leader="none" w:pos="123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by Conduit Purchasers</w:t>
      </w:r>
      <w:r>
        <w:rPr>
          <w:rFonts w:ascii="Times New Roman" w:cs="Times New Roman" w:eastAsia="Times New Roman" w:hAnsi="Times New Roman"/>
          <w:sz w:val="18"/>
          <w:szCs w:val="18"/>
          <w:color w:val="auto"/>
        </w:rPr>
        <w:t xml:space="preserve">. Each party hereto agrees and consents (i) to any Conduit Purchaser’s assignment, participation, grant of security interests in or other transfers of any portion of, or any of its beneficial interest in, the Purchased Interest (or portion thereof), including without limitation to any collateral agent in connection with its commercial paper program and (ii) to the complete assignment by any Conduit Purchaser of all of its rights and obligations hereunder to any other Person, and upon such assignment such Conduit Purchaser shall be released from all obligations and duties, if any, hereunder. Any assigning Conduit Purchaser shall deliver to any assignee a Transfer Supplement, duly executed by such Conduit Purchaser, assigning any portion of its interest in the Purchased Interest to its assignee. Such Conduit Purchaser shall promptly (i) notify each of the other parties hereto of such assignment and (ii) take all further action that the assignee reasonably requests in order to evidence the assignee’s right, title and interest in such interest in the Purchased Interest and to enable the assignee to exercise or enforce any rights of such Conduit Purchaser hereunder. Upon the assignment of any portion of its interest in the Purchased Interest, the assignee shall have all of the rights hereunder with respect to such interest. </w:t>
      </w:r>
      <w:r>
        <w:rPr>
          <w:rFonts w:ascii="Times New Roman" w:cs="Times New Roman" w:eastAsia="Times New Roman" w:hAnsi="Times New Roman"/>
          <w:sz w:val="18"/>
          <w:szCs w:val="18"/>
          <w:u w:val="single" w:color="auto"/>
          <w:color w:val="0000FF"/>
        </w:rPr>
        <w:t>Notwithstanding the foregoing, any Committed Purchaser and Conduit Purchaser may assign any Investments to other willing Committed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Purchasers or Conduit Purchasers in their respective Purchaser Groups without any requirements for delivery of a Transfer Supplement; provided the Purchaser Agent for such Purchaser Group shall promptly notify the Seller and the Administrator of such assignment.</w:t>
      </w:r>
    </w:p>
    <w:p>
      <w:pPr>
        <w:spacing w:after="0" w:line="81" w:lineRule="exact"/>
        <w:rPr>
          <w:rFonts w:ascii="Times New Roman" w:cs="Times New Roman" w:eastAsia="Times New Roman" w:hAnsi="Times New Roman"/>
          <w:sz w:val="18"/>
          <w:szCs w:val="18"/>
          <w:color w:val="auto"/>
        </w:rPr>
      </w:pPr>
    </w:p>
    <w:p>
      <w:pPr>
        <w:ind w:right="20" w:firstLine="987"/>
        <w:spacing w:after="0" w:line="261" w:lineRule="auto"/>
        <w:tabs>
          <w:tab w:leader="none" w:pos="121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The Administrator shall, acting solely for this purpose as an agent of the Seller, maintain at its address referred to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of this Agreement (or such other address of the Administrator notified by the Administrator to the other parties hereto) a copy of each Transfer Supplement delivered to and accepted by it and a register for the recordation of the names and addresses of the Purchasers, the Commitment of each Committed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-894080</wp:posOffset>
            </wp:positionV>
            <wp:extent cx="633476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3347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-756920</wp:posOffset>
            </wp:positionV>
            <wp:extent cx="681482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-619760</wp:posOffset>
            </wp:positionV>
            <wp:extent cx="537464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374640" cy="8890"/>
                    </a:xfrm>
                    <a:prstGeom prst="rect">
                      <a:avLst/>
                    </a:prstGeom>
                    <a:noFill/>
                  </pic:spPr>
                </pic:pic>
              </a:graphicData>
            </a:graphic>
          </wp:anchor>
        </w:drawing>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196" w:name="page197"/>
    <w:bookmarkEnd w:id="196"/>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Purchaser and the aggregate Investment of each Purchaser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and binding for all purposes, absent manifest error, and the Seller, the Servicer, the Administrator, the Purchaser Agents and the Purchasers may treat each Person whose name is recorded in the Register as a Purchaser, as a Purchaser under this Agreement for all purposes of this Agreement. The Register shall be available for inspection by the Seller, the Servicer, any Purchaser Agent or any Purchaser at any reasonable time and from time to time upon reasonable prior notice.</w:t>
      </w:r>
    </w:p>
    <w:p>
      <w:pPr>
        <w:spacing w:after="0" w:line="75" w:lineRule="exact"/>
        <w:rPr>
          <w:sz w:val="20"/>
          <w:szCs w:val="20"/>
          <w:color w:val="auto"/>
        </w:rPr>
      </w:pPr>
    </w:p>
    <w:p>
      <w:pPr>
        <w:ind w:right="340" w:firstLine="987"/>
        <w:spacing w:after="0" w:line="266" w:lineRule="auto"/>
        <w:tabs>
          <w:tab w:leader="none" w:pos="1246"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Upon its receipt of a Transfer Supplement executed and delivered by an assigning Purchaser, the Administrator shall, if such Transfer Supplement has been duly completed, (i) accept such Transfer Supplement and (ii) record the information contained therein in the Register.</w:t>
      </w:r>
    </w:p>
    <w:p>
      <w:pPr>
        <w:spacing w:after="0" w:line="176"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Costs, Expenses and Taxes</w:t>
      </w:r>
      <w:r>
        <w:rPr>
          <w:rFonts w:ascii="Times New Roman" w:cs="Times New Roman" w:eastAsia="Times New Roman" w:hAnsi="Times New Roman"/>
          <w:sz w:val="18"/>
          <w:szCs w:val="18"/>
          <w:color w:val="auto"/>
        </w:rPr>
        <w:t xml:space="preserve">. In addition to the rights of indemnification granted under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the Seller agrees to pay on demand (which demand shall be accompanied by documentation thereof in reasonable detail) all reasonable costs and expenses in connection with the preparation, execution, delivery and administration (including periodic internal audits by the Administrator of Pool Receivables) of this Agreement, the other Transaction Documents and the other documents and agreements to be delivered hereunder (and all reasonable costs and expenses in connection with any amendment, waiver or modification of any thereof), including: (i) Attorney Costs for the Administrator, each Purchaser Group and their respective Affiliates and agents with respect thereto and with respect to advising the Administrator, each Purchaser Group and their respective Affiliates and agents as to their rights and remedies under this Agreement and the other Transaction Documents, and (ii) all reasonable costs and expenses (including Attorney Costs), if any, of the Administrator, each Purchaser Group and their respective Affiliates and agents in connection with the enforcement of this Agreement and the other Transaction Documents.</w:t>
      </w:r>
    </w:p>
    <w:p>
      <w:pPr>
        <w:spacing w:after="0" w:line="188"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In addition, the Seller shall pay on demand any and all stamp and other taxes and fees payable in connection with the execution, delivery, filing and recording of this Agreement or the other documents or agreements to be delivered hereunder, and agrees to save each Indemnified Party harmless from and against any liabilities with respect to or resulting from any delay in paying or omission to pay such taxes and fees.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No Proceedings; Limitation on Payments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40" w:firstLine="987"/>
        <w:spacing w:after="0" w:line="261" w:lineRule="auto"/>
        <w:tabs>
          <w:tab w:leader="none" w:pos="1236"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Seller, WESCO, the Servicer, the Administrator, the Purchaser Agents, the Purchasers, each assignee of the Purchased Interest or any interest therein, and each Person that enters into a commitment to purchase the Purchased Interest or interests therein, hereby covenants and agrees that it will not institute against, or join any other Person in instituting against, any Conduit Purchaser any Insolvency Proceeding, for one year and one day after the latest maturing Note issued by such Conduit Purchaser is paid in full.</w:t>
      </w:r>
    </w:p>
    <w:p>
      <w:pPr>
        <w:spacing w:after="0" w:line="71" w:lineRule="exact"/>
        <w:rPr>
          <w:rFonts w:ascii="Times New Roman" w:cs="Times New Roman" w:eastAsia="Times New Roman" w:hAnsi="Times New Roman"/>
          <w:sz w:val="18"/>
          <w:szCs w:val="18"/>
          <w:color w:val="auto"/>
        </w:rPr>
      </w:pPr>
    </w:p>
    <w:p>
      <w:pPr>
        <w:ind w:right="240" w:firstLine="987"/>
        <w:spacing w:after="0" w:line="266" w:lineRule="auto"/>
        <w:tabs>
          <w:tab w:leader="none" w:pos="1246"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WESCO, the Servicer, the Purchaser Agents, the Purchasers, each assignee of the Purchased Interest or any interest therein, and each Person that enters into a commitment to purchase the Purchased Interest or interests therein, hereby covenants and agrees that it will not institute against, or join any other Person in instituting against, the Seller any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0"/>
          </w:cols>
          <w:pgMar w:left="440" w:top="270" w:right="479" w:bottom="1440" w:gutter="0" w:footer="0" w:header="0"/>
        </w:sectPr>
      </w:pPr>
    </w:p>
    <w:bookmarkStart w:id="197" w:name="page198"/>
    <w:bookmarkEnd w:id="197"/>
    <w:p>
      <w:pPr>
        <w:ind w:left="4" w:right="4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Insolvency Proceeding until one year and one day after the Final Payout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Administrator may take any such action in its sole discretion following the occurrence of a Termination Event.</w:t>
      </w:r>
    </w:p>
    <w:p>
      <w:pPr>
        <w:spacing w:after="0" w:line="54" w:lineRule="exact"/>
        <w:rPr>
          <w:sz w:val="20"/>
          <w:szCs w:val="20"/>
          <w:color w:val="auto"/>
        </w:rPr>
      </w:pPr>
    </w:p>
    <w:p>
      <w:pPr>
        <w:ind w:left="4" w:firstLine="987"/>
        <w:spacing w:after="0" w:line="257" w:lineRule="auto"/>
        <w:tabs>
          <w:tab w:leader="none" w:pos="124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provisions contained in this Agreement to the contrary, a Conduit Purchaser shall not, and shall be under no obligation to, pay any amount, if any, payable by it pursuant to this Agreement or any other Transaction Document unless (i) such Conduit Purchaser has received funds which may be used to make such payment and which funds are not required to repay such Conduit Purchaser’s Notes when due and</w:t>
      </w:r>
    </w:p>
    <w:p>
      <w:pPr>
        <w:spacing w:after="0" w:line="1" w:lineRule="exact"/>
        <w:rPr>
          <w:rFonts w:ascii="Times New Roman" w:cs="Times New Roman" w:eastAsia="Times New Roman" w:hAnsi="Times New Roman"/>
          <w:sz w:val="18"/>
          <w:szCs w:val="18"/>
          <w:color w:val="auto"/>
        </w:rPr>
      </w:pPr>
    </w:p>
    <w:p>
      <w:pPr>
        <w:jc w:val="both"/>
        <w:ind w:left="4" w:right="360" w:hanging="4"/>
        <w:spacing w:after="0" w:line="265" w:lineRule="auto"/>
        <w:tabs>
          <w:tab w:leader="none" w:pos="269" w:val="left"/>
        </w:tabs>
        <w:numPr>
          <w:ilvl w:val="0"/>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giving effect to such payment, either (x) such Conduit Purchaser could issue Notes to refinance all of its outstanding Notes (assuming such outstanding Notes matured at such time) in accordance with the program documents governing such Conduit Purchaser’s securitization program or</w:t>
      </w:r>
    </w:p>
    <w:p>
      <w:pPr>
        <w:jc w:val="both"/>
        <w:ind w:left="4" w:right="160" w:hanging="4"/>
        <w:spacing w:after="0" w:line="253" w:lineRule="auto"/>
        <w:tabs>
          <w:tab w:leader="none" w:pos="259"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of such Conduit Purchaser’s Notes are paid in full. Any amount which any Conduit Purchaser does not pay pursuant to the operation of the preceding sentence shall not constitute a claim (as defined in Section 101 of the Bankruptcy Code) against or company obligation of such Conduit Purchaser for any such insufficiency unless and until such Conduit Purchaser satisfies the provisions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The provision of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shall survive any termination of this Agreement.</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GOVERNING LAW AND JURISDICTION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60" w:firstLine="987"/>
        <w:spacing w:after="0" w:line="266" w:lineRule="auto"/>
        <w:tabs>
          <w:tab w:leader="none" w:pos="124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DEEMED TO BE A CONTRACT MADE UNDER AND GOVERNED BY THE LAWS OF THE STATE OF NEW YORK (INCLUDING FOR SUCH PURPOSE SECTIONS 5-1401 AND 5-1402 OF THE GENERAL OBLIGATIONS LAW OF THE STATE OF NEW YORK).</w:t>
      </w:r>
    </w:p>
    <w:p>
      <w:pPr>
        <w:spacing w:after="0" w:line="67" w:lineRule="exact"/>
        <w:rPr>
          <w:rFonts w:ascii="Times New Roman" w:cs="Times New Roman" w:eastAsia="Times New Roman" w:hAnsi="Times New Roman"/>
          <w:sz w:val="18"/>
          <w:szCs w:val="18"/>
          <w:color w:val="auto"/>
        </w:rPr>
      </w:pPr>
    </w:p>
    <w:p>
      <w:pPr>
        <w:ind w:left="4" w:right="40" w:firstLine="987"/>
        <w:spacing w:after="0" w:line="254" w:lineRule="auto"/>
        <w:tabs>
          <w:tab w:leader="none" w:pos="125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LEGAL ACTION OR PROCEEDING WITH RESPECT TO THIS AGREEMENT MAY BE BROUGHT IN THE COURTS OF THE STATE OF NEW YORK OR OF THE UNITED STATES FOR THE SOUTHERN DISTRICT OF NEW YORK; AND, BY EXECUTION AND DELIVERY OF THIS AGREEMENT, EACH OF THE PARTIES HERETO CONSENTS, FOR ITSELF AND IN RESPECT OF ITS PROPERTY, TO THE NON-EXCLUSIVE JURISDICTION OF THOSE COURTS. EACH OF THE PARTIES HERETO IRREVOCABLY WAIVES, TO THE MAXIMUM EXTENT PERMITTED BY LAW, ANY OBJECTION, INCLUDING ANY OBJECTION TO THE LAYING OF VENUE OR BASED ON THE GROUNDS OF FORUM NON CONVENIENS, THAT IT MAY NOW OR HEREAFTER HAVE TO THE BRINGING OF ANY ACTION OR PROCEEDING IN SUCH JURISDICTION IN RESPECT OF THIS AGREEMENT OR ANY DOCUMENT RELATED HERETO. EACH OF THE PARTIES HERETO WAIVES PERSONAL SERVICE OF ANY SUMMONS, COMPLAINT OR OTHER PROCESS, WHICH SERVICE MAY BE MADE BY ANY OTHER MEANS PERMITTED BY NEW YORK LAW.</w:t>
      </w:r>
    </w:p>
    <w:p>
      <w:pPr>
        <w:spacing w:after="0" w:line="188"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Execution in Counterparts</w:t>
      </w:r>
      <w:r>
        <w:rPr>
          <w:rFonts w:ascii="Times New Roman" w:cs="Times New Roman" w:eastAsia="Times New Roman" w:hAnsi="Times New Roman"/>
          <w:sz w:val="18"/>
          <w:szCs w:val="18"/>
          <w:color w:val="auto"/>
        </w:rPr>
        <w:t>. This Agreement may be executed in any number of counterparts, each of which, when so executed, shall be deemed to be an original, and all of which, when taken together, shall constitute one and the same agreement.</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4"/>
          </w:cols>
          <w:pgMar w:left="436" w:top="270" w:right="459" w:bottom="1440" w:gutter="0" w:footer="0" w:header="0"/>
        </w:sectPr>
      </w:pPr>
    </w:p>
    <w:bookmarkStart w:id="198" w:name="page199"/>
    <w:bookmarkEnd w:id="198"/>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6.8. </w:t>
      </w:r>
      <w:r>
        <w:rPr>
          <w:rFonts w:ascii="Times New Roman" w:cs="Times New Roman" w:eastAsia="Times New Roman" w:hAnsi="Times New Roman"/>
          <w:sz w:val="18"/>
          <w:szCs w:val="18"/>
          <w:u w:val="single" w:color="auto"/>
          <w:color w:val="auto"/>
        </w:rPr>
        <w:t>Survival of Termination</w:t>
      </w:r>
      <w:r>
        <w:rPr>
          <w:rFonts w:ascii="Times New Roman" w:cs="Times New Roman" w:eastAsia="Times New Roman" w:hAnsi="Times New Roman"/>
          <w:sz w:val="18"/>
          <w:szCs w:val="18"/>
          <w:color w:val="auto"/>
        </w:rPr>
        <w:t xml:space="preserve">. The provisions of </w:t>
      </w:r>
      <w:r>
        <w:rPr>
          <w:rFonts w:ascii="Times New Roman" w:cs="Times New Roman" w:eastAsia="Times New Roman" w:hAnsi="Times New Roman"/>
          <w:sz w:val="18"/>
          <w:szCs w:val="18"/>
          <w:u w:val="single" w:color="auto"/>
          <w:color w:val="auto"/>
        </w:rPr>
        <w:t>Sections 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6.14</w:t>
      </w:r>
      <w:r>
        <w:rPr>
          <w:rFonts w:ascii="Times New Roman" w:cs="Times New Roman" w:eastAsia="Times New Roman" w:hAnsi="Times New Roman"/>
          <w:sz w:val="18"/>
          <w:szCs w:val="18"/>
          <w:color w:val="auto"/>
        </w:rPr>
        <w:t xml:space="preserve"> shall survive any termination of this Agreement.</w:t>
      </w:r>
    </w:p>
    <w:p>
      <w:pPr>
        <w:spacing w:after="0" w:line="162"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6.9.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OF THE PARTIES HERETO WAIVES THEIR RESPECTIVE RIGHTS TO A TRIAL BY JURY OF ANY CLAIM OR CAUSE OF ACTION BASED UPON OR ARISING OUT OF OR RELATED TO THIS AGREEMENT OR THE TRANSACTIONS CONTEMPLATED HEREBY IN ANY ACTION, PROCEEDING OR OTHER LITIGATION OF ANY TYPE BROUGHT BY ANY OF THE PARTIES AGAINST ANY OTHER PARTY OR PARTIES, WHETHER WITH RESPECT TO CONTRACT CLAIMS, TORT CLAIMS OR OTHERWISE. EACH OF THE PARTIES HERETO AGREES THAT ANY SUCH CLAIM OR CAUSE OF ACTION SHALL BE TRIED BY A COURT TRIAL WITHOUT A JURY. WITHOUT LIMITING THE FOREGOING, EACH OF THE PARTIES HERETO FURTHER AGREES THAT ITS RESPECTIVE RIGHT TO A TRIAL BY JURY IS WAIVED BY OPERATION OF THIS SECTION AS TO ANY ACTION, COUNTERCLAIM OR OTHER PROCEEDING THAT SEEKS, IN WHOLE OR IN PART, TO CHALLENGE THE VALIDITY OR ENFORCEABILITY OF THIS AGREEMENT OR ANY PROVISION HEREOF. THIS WAIVER SHALL APPLY TO ANY SUBSEQUENT AMENDMENTS, RENEWALS, SUPPLEMENTS OR MODIFICATIONS TO THIS AGREEMENT.</w:t>
      </w:r>
    </w:p>
    <w:p>
      <w:pPr>
        <w:spacing w:after="0" w:line="194"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Sharing of Recoveries</w:t>
      </w:r>
      <w:r>
        <w:rPr>
          <w:rFonts w:ascii="Times New Roman" w:cs="Times New Roman" w:eastAsia="Times New Roman" w:hAnsi="Times New Roman"/>
          <w:sz w:val="18"/>
          <w:szCs w:val="18"/>
          <w:color w:val="auto"/>
        </w:rPr>
        <w:t>. Each Purchaser agrees that if it receives any recovery, through set-off, judicial action or otherwise, on any amount payable or recoverable hereunder in a greater proportion than should have been received hereunder or otherwise inconsistent with the provisions hereof, then the recipient of such recovery shall purchase for cash an interest in amounts owing to the other Purchasers (as return of Investment or otherwise), without representation or warranty except for the representation and warranty that such interest is being sold by each such other Purchaser free and clear of any Adverse Claim created or granted by such other Purchaser, in the amount necessary to create proportional participation by the Purchaser in such recovery. If all or any portion of such amount is thereafter recovered from the recipient, such purchase shall be rescinded and the purchase price restored to the extent of such recovery, but without interest.</w:t>
      </w:r>
    </w:p>
    <w:p>
      <w:pPr>
        <w:spacing w:after="0" w:line="189" w:lineRule="exact"/>
        <w:rPr>
          <w:sz w:val="20"/>
          <w:szCs w:val="20"/>
          <w:color w:val="auto"/>
        </w:rPr>
      </w:pPr>
    </w:p>
    <w:p>
      <w:pPr>
        <w:jc w:val="both"/>
        <w:ind w:right="3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During a Termination Event, each Purchaser is hereby authorized (in addition to any other rights it may have) to setoff, appropriate and apply (without presentment, demand, protest or other notice which are hereby expressly waived) any deposits and any other indebtedness held or owing by such Purchaser (including by any branches or agencies of such Purchaser) to, or for the account of, the Seller against amounts owing by the Seller hereunder (even if contingent or unmatured).</w:t>
      </w:r>
    </w:p>
    <w:p>
      <w:pPr>
        <w:spacing w:after="0" w:line="180"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and the other Transaction Documents embody the entire agreement and understanding between the parties hereto, and supersede all prior or contemporaneous agreements and understandings of such Persons, verbal or written, relating to the subject matter hereof and thereof.</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80"/>
          </w:cols>
          <w:pgMar w:left="440" w:top="270" w:right="479" w:bottom="1440" w:gutter="0" w:footer="0" w:header="0"/>
        </w:sectPr>
      </w:pPr>
    </w:p>
    <w:bookmarkStart w:id="199" w:name="page200"/>
    <w:bookmarkEnd w:id="199"/>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6.13.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captions and headings of this Agreement and any Exhibit, Schedule or Annex hereto are for convenience of reference only and shall not affect the interpretation hereof or thereof.</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Purchaser Groups’ Liabilities</w:t>
      </w:r>
      <w:r>
        <w:rPr>
          <w:rFonts w:ascii="Times New Roman" w:cs="Times New Roman" w:eastAsia="Times New Roman" w:hAnsi="Times New Roman"/>
          <w:sz w:val="18"/>
          <w:szCs w:val="18"/>
          <w:color w:val="auto"/>
        </w:rPr>
        <w:t>. The obligations of each Purchaser Agent and each Purchaser under the Transaction Documents are solely the corporate obligations of such Person. Except with respect to any claim arising out of the willful misconduct or gross negligence of the Administrator, any Purchaser Agent or any Purchaser, no claim may be made by the Seller or the Servicer or any other Person against the Administrator, any Purchaser Agent or any Purchaser or their respective Affiliates, directors, officers, employees, attorneys or agents for any special, indirect, consequential or punitive damages in respect of any claim for breach of contract or any other theory of liability arising out of or related to the transactions contemplated by this Agreement or any other Transaction Document, or any act, omission or event occurring in connection therewith; and each of Seller and Servicer hereby waives, releases, and agrees not to sue upon any claim for any such damages, whether or not accrued and whether or not known or suspected to exist in its favor.</w:t>
      </w:r>
    </w:p>
    <w:p>
      <w:pPr>
        <w:spacing w:after="0" w:line="192"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u w:val="single" w:color="auto"/>
          <w:color w:val="auto"/>
        </w:rPr>
        <w:t>Pledge to a Federal Reserve Bank</w:t>
      </w:r>
      <w:r>
        <w:rPr>
          <w:rFonts w:ascii="Times New Roman" w:cs="Times New Roman" w:eastAsia="Times New Roman" w:hAnsi="Times New Roman"/>
          <w:sz w:val="18"/>
          <w:szCs w:val="18"/>
          <w:color w:val="auto"/>
        </w:rPr>
        <w:t>. Notwithstanding anything to the contrary set forth herein, (i) each Committed Purchaser may at any time pledge or grant a security interest in all or any portion of its interest in, to and under its undivided percentage ownership interest with regard to the Purchased Interest or under this Agreement to secure its obligations to a Federal Reserve Bank, or (ii) in the event that any Conduit Purchaser assigns any interest in, to and under its undivided percentage ownership interest with regard to the Purchased Interest to any Program Support Provider pursuant to a Program Support Agreement, such Program Support Provider may at any time pledge or grant a security interest in all or any portion of its interest in, to and under such undivided percentage ownership interest with regard to the Purchased Interest or under this Agreement to secure the obligations of such Program Support Provider to a Federal Reserve Bank, in each case without notice to or the consent of the Seller.</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6.16.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87"/>
        <w:spacing w:after="0" w:line="253" w:lineRule="auto"/>
        <w:tabs>
          <w:tab w:leader="none" w:pos="123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Seller and the Servicer covenants and agrees to hold in confidence, and not disclose to any Person, the terms of this Agreement or any Purchaser Group Fee Letter (including any fees payable in connection with this Agreement, any Purchaser Group Fee Letter or any other Transaction Document or the identity of the Administrator or any Purchaser or Purchaser Agent), except as the Administrator and each Purchaser Agent may have consented to in writing prior to any proposed disclosure;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it may disclose such information (i) to its Advisors and Representatives, (ii) to the extent such information has become available to the public other than as a result of a disclosure by or through the Seller, the Servicer or their Advisors and Representatives or (iii) to the extent it should be (A) required by Applicable Law, or in connection with any legal or regulatory proceeding or (B) requested by any Governmental Authority to disclose such information;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above, the Seller and the Servicer will use reasonable efforts to maintain confidentiality and will (unless otherwise prohibited by Applicable Law) notify the Administrator and the affected Purchaser or Purchaser Agent of its intention to make any such disclosure prior to making such disclosure. Each of the Seller and the Servicer agrees to be responsible for any breach of this Section by its Representatives and Advisors and agrees that its Representatives and Advisors</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80"/>
          </w:cols>
          <w:pgMar w:left="440" w:top="270" w:right="479" w:bottom="1440" w:gutter="0" w:footer="0" w:header="0"/>
        </w:sectPr>
      </w:pPr>
    </w:p>
    <w:bookmarkStart w:id="200" w:name="page201"/>
    <w:bookmarkEnd w:id="200"/>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will be advised by it of the confidential nature of such information and shall agree to comply with this Section. Notwithstanding the foregoing, it is expressly agreed that each of the Seller, the Servicer and their respective Affiliates may publish a press release or otherwise publicly announce the existence and principal amount of the Commitments under this Agreement and the transactions contemplated 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Administrator shall be provided a reasonable opportunity to review such press release or other public announcement prior to its release and provide comment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such press release shall name or otherwise identify the Administrator, any Purchaser, any Purchaser Agent or any of their respective Affiliates without such Person’s prior written consent (such consent not to be unreasonably withheld, conditioned or delayed).</w:t>
      </w:r>
    </w:p>
    <w:p>
      <w:pPr>
        <w:spacing w:after="0" w:line="79" w:lineRule="exact"/>
        <w:rPr>
          <w:sz w:val="20"/>
          <w:szCs w:val="20"/>
          <w:color w:val="auto"/>
        </w:rPr>
      </w:pPr>
    </w:p>
    <w:p>
      <w:pPr>
        <w:jc w:val="both"/>
        <w:ind w:right="140" w:firstLine="987"/>
        <w:spacing w:after="0" w:line="261" w:lineRule="auto"/>
        <w:tabs>
          <w:tab w:leader="none" w:pos="1246"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Section, (i) “</w:t>
      </w:r>
      <w:r>
        <w:rPr>
          <w:rFonts w:ascii="Times New Roman" w:cs="Times New Roman" w:eastAsia="Times New Roman" w:hAnsi="Times New Roman"/>
          <w:sz w:val="18"/>
          <w:szCs w:val="18"/>
          <w:u w:val="single" w:color="auto"/>
          <w:color w:val="auto"/>
        </w:rPr>
        <w:t>Advisors</w:t>
      </w:r>
      <w:r>
        <w:rPr>
          <w:rFonts w:ascii="Times New Roman" w:cs="Times New Roman" w:eastAsia="Times New Roman" w:hAnsi="Times New Roman"/>
          <w:sz w:val="18"/>
          <w:szCs w:val="18"/>
          <w:color w:val="auto"/>
        </w:rPr>
        <w:t>” means, with respect to any Person, such Person’s accountants, attorneys and other confidential advisors and (ii)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xml:space="preserve">” means, with respect to any Person, such Person’s Affiliates, Subsidiaries, directors, managers, officers, employees, members, investors, financing sources, insurers, professional advisors, representatives and agents;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Person shall not be deemed to Representatives of a Person unless (and solely to the extent that) confidential information is furnished to such Person.</w:t>
      </w:r>
    </w:p>
    <w:p>
      <w:pPr>
        <w:spacing w:after="0" w:line="71" w:lineRule="exact"/>
        <w:rPr>
          <w:rFonts w:ascii="Times New Roman" w:cs="Times New Roman" w:eastAsia="Times New Roman" w:hAnsi="Times New Roman"/>
          <w:sz w:val="18"/>
          <w:szCs w:val="18"/>
          <w:color w:val="auto"/>
        </w:rPr>
      </w:pPr>
    </w:p>
    <w:p>
      <w:pPr>
        <w:ind w:right="180" w:firstLine="987"/>
        <w:spacing w:after="0" w:line="261" w:lineRule="auto"/>
        <w:tabs>
          <w:tab w:leader="none" w:pos="1236"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to the extent not inconsistent with applicable securities laws, each party hereto (and each of its employees, representatives or other agents) may disclose to any and all Persons, without limitation of any kind, the tax treatment and tax structure (as defined in Section 1.6011-4 of the Treasury Regulations) of the transactions contemplated by the Transaction Documents and all materials of any kind (including opinions or other tax analyses) that are provided to such Person relating to such tax treatment and tax structure.</w:t>
      </w:r>
    </w:p>
    <w:p>
      <w:pPr>
        <w:spacing w:after="0" w:line="180"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6.17. </w:t>
      </w:r>
      <w:r>
        <w:rPr>
          <w:rFonts w:ascii="Times New Roman" w:cs="Times New Roman" w:eastAsia="Times New Roman" w:hAnsi="Times New Roman"/>
          <w:sz w:val="18"/>
          <w:szCs w:val="18"/>
          <w:u w:val="single" w:color="auto"/>
          <w:color w:val="auto"/>
        </w:rPr>
        <w:t>Mutual Negotiations</w:t>
      </w:r>
      <w:r>
        <w:rPr>
          <w:rFonts w:ascii="Times New Roman" w:cs="Times New Roman" w:eastAsia="Times New Roman" w:hAnsi="Times New Roman"/>
          <w:sz w:val="18"/>
          <w:szCs w:val="18"/>
          <w:color w:val="auto"/>
        </w:rPr>
        <w:t>. This Agreement and the other Transaction Documents are the product of mutual negotiations by the parties thereto and their counsel, and no party shall be deemed the draftsperson of this Agreement or any other Transaction Document or any provision hereof or thereof or to have provided the same. Accordingly, in the event of any inconsistency or ambiguity of any provision of this Agreement or any other Transaction Document, such inconsistency or ambiguity shall not be interpreted against any party because of such party’s involvement in the drafting thereof.</w:t>
      </w:r>
    </w:p>
    <w:p>
      <w:pPr>
        <w:spacing w:after="0" w:line="183"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6.18.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Notwithstanding anything to the contrary set forth herein, each reference to any definition, section or provision in the Credit Agreement shall be a reference thereto without giving effect to any amendments, supplements or other modifications thereto entered into at any time that PNC Bank, National Association is not a party to the Credit Agreement.</w:t>
      </w:r>
    </w:p>
    <w:p>
      <w:pPr>
        <w:spacing w:after="0" w:line="176"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6.19.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Each of the Administrator and each of the other Affected Persons hereby notifies the Seller and the Servicer that pursuant to the requirements of the USA PATRIOT Act, Title III of Pub. L. 107-56 (signed into law October 26, 2001) (the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the Administrator and the other Affected Persons may be required to obtain, verify and record information that identifies the Seller, the Originators and the Servicer, which information includes the name, address, tax identification number and other information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80"/>
          </w:cols>
          <w:pgMar w:left="440" w:top="270" w:right="479" w:bottom="1440" w:gutter="0" w:footer="0" w:header="0"/>
        </w:sectPr>
      </w:pPr>
    </w:p>
    <w:bookmarkStart w:id="201" w:name="page202"/>
    <w:bookmarkEnd w:id="201"/>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regarding the Seller, the Originators and the Servicer that will allow the Administrator and the other Affected Persons to identify the Seller, the Originators and the Servicer in accordance with the PATRIOT Act. This notice is given in accordance with the requirements of the PATRIOT Act. Each of the Seller and the Servicer agrees to provide the Administrator and each other Affected Persons, from time to time, with all documentation and other information required by bank regulatory authorities under “know your customer” and anti-money laundering rules and regulations, including, without limitation, the PATRIOT Act and the Beneficial Ownership Regulation.</w:t>
      </w:r>
    </w:p>
    <w:p>
      <w:pPr>
        <w:spacing w:after="0" w:line="183"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6.20.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xml:space="preserve">. Notwithstanding anything to the contrary in any Transaction Documents or in any other agreement, arrangement or understanding among any such parties, each party hereto acknowledges that any liability of any Affected Financial Institution arising under any Transaction Document, to the extent such liability is unsecured, may be subject to the </w:t>
      </w:r>
      <w:r>
        <w:rPr>
          <w:rFonts w:ascii="Times New Roman" w:cs="Times New Roman" w:eastAsia="Times New Roman" w:hAnsi="Times New Roman"/>
          <w:sz w:val="18"/>
          <w:szCs w:val="18"/>
          <w:color w:val="FF0000"/>
          <w:strike w:val="1"/>
        </w:rPr>
        <w:t>Write-Down</w:t>
      </w:r>
      <w:r>
        <w:rPr>
          <w:rFonts w:ascii="Times New Roman" w:cs="Times New Roman" w:eastAsia="Times New Roman" w:hAnsi="Times New Roman"/>
          <w:sz w:val="18"/>
          <w:szCs w:val="18"/>
          <w:u w:val="single" w:color="auto"/>
          <w:color w:val="0000FF"/>
        </w:rPr>
        <w:t>Write-down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and Conversion Powers of the applicable Resolution Authority and agrees and consents to, and acknowledges and agrees to be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bound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-137160</wp:posOffset>
            </wp:positionV>
            <wp:extent cx="54864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55" w:lineRule="exact"/>
        <w:rPr>
          <w:sz w:val="20"/>
          <w:szCs w:val="20"/>
          <w:color w:val="auto"/>
        </w:rPr>
      </w:pPr>
    </w:p>
    <w:p>
      <w:pPr>
        <w:ind w:right="220" w:firstLine="987"/>
        <w:spacing w:after="0" w:line="282" w:lineRule="auto"/>
        <w:tabs>
          <w:tab w:leader="none" w:pos="1236"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application of any </w:t>
      </w:r>
      <w:r>
        <w:rPr>
          <w:rFonts w:ascii="Times New Roman" w:cs="Times New Roman" w:eastAsia="Times New Roman" w:hAnsi="Times New Roman"/>
          <w:sz w:val="18"/>
          <w:szCs w:val="18"/>
          <w:color w:val="FF0000"/>
          <w:strike w:val="1"/>
        </w:rPr>
        <w:t>Write-Down</w:t>
      </w:r>
      <w:r>
        <w:rPr>
          <w:rFonts w:ascii="Times New Roman" w:cs="Times New Roman" w:eastAsia="Times New Roman" w:hAnsi="Times New Roman"/>
          <w:sz w:val="18"/>
          <w:szCs w:val="18"/>
          <w:u w:val="single" w:color="auto"/>
          <w:color w:val="0000FF"/>
        </w:rPr>
        <w:t>Write-down</w:t>
      </w:r>
      <w:r>
        <w:rPr>
          <w:rFonts w:ascii="Times New Roman" w:cs="Times New Roman" w:eastAsia="Times New Roman" w:hAnsi="Times New Roman"/>
          <w:sz w:val="18"/>
          <w:szCs w:val="18"/>
          <w:color w:val="auto"/>
        </w:rPr>
        <w:t xml:space="preserve"> and Conversion Powers by the applicable Resolution Authority to any such liabilities arising hereunder which may be payable to it by any party hereto that is an Affected Financial Institution; and</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17" w:lineRule="exact"/>
        <w:rPr>
          <w:rFonts w:ascii="Times New Roman" w:cs="Times New Roman" w:eastAsia="Times New Roman" w:hAnsi="Times New Roman"/>
          <w:sz w:val="18"/>
          <w:szCs w:val="18"/>
          <w:color w:val="auto"/>
        </w:rPr>
      </w:pPr>
    </w:p>
    <w:p>
      <w:pPr>
        <w:ind w:left="980" w:right="80" w:firstLine="408"/>
        <w:spacing w:after="0" w:line="261" w:lineRule="auto"/>
        <w:tabs>
          <w:tab w:leader="none" w:pos="1646"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Transaction Document; or</w:t>
      </w:r>
    </w:p>
    <w:p>
      <w:pPr>
        <w:spacing w:after="0" w:line="71" w:lineRule="exact"/>
        <w:rPr>
          <w:rFonts w:ascii="Times New Roman" w:cs="Times New Roman" w:eastAsia="Times New Roman" w:hAnsi="Times New Roman"/>
          <w:sz w:val="18"/>
          <w:szCs w:val="18"/>
          <w:color w:val="auto"/>
        </w:rPr>
      </w:pPr>
    </w:p>
    <w:p>
      <w:pPr>
        <w:ind w:left="980" w:firstLine="408"/>
        <w:spacing w:after="0" w:line="282" w:lineRule="auto"/>
        <w:tabs>
          <w:tab w:leader="none" w:pos="1696"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variation of the terms of such liability in connection with the exercise of the </w:t>
      </w:r>
      <w:r>
        <w:rPr>
          <w:rFonts w:ascii="Times New Roman" w:cs="Times New Roman" w:eastAsia="Times New Roman" w:hAnsi="Times New Roman"/>
          <w:sz w:val="18"/>
          <w:szCs w:val="18"/>
          <w:color w:val="FF0000"/>
          <w:strike w:val="1"/>
        </w:rPr>
        <w:t>Write-Down</w:t>
      </w:r>
      <w:r>
        <w:rPr>
          <w:rFonts w:ascii="Times New Roman" w:cs="Times New Roman" w:eastAsia="Times New Roman" w:hAnsi="Times New Roman"/>
          <w:sz w:val="18"/>
          <w:szCs w:val="18"/>
          <w:u w:val="single" w:color="auto"/>
          <w:color w:val="0000FF"/>
        </w:rPr>
        <w:t>Write-down</w:t>
      </w:r>
      <w:r>
        <w:rPr>
          <w:rFonts w:ascii="Times New Roman" w:cs="Times New Roman" w:eastAsia="Times New Roman" w:hAnsi="Times New Roman"/>
          <w:sz w:val="18"/>
          <w:szCs w:val="18"/>
          <w:color w:val="auto"/>
        </w:rPr>
        <w:t xml:space="preserve"> and Conversion Powers of the applicable Resolution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-1522730</wp:posOffset>
            </wp:positionV>
            <wp:extent cx="53975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39750" cy="8255"/>
                    </a:xfrm>
                    <a:prstGeom prst="rect">
                      <a:avLst/>
                    </a:prstGeom>
                    <a:noFill/>
                  </pic:spPr>
                </pic:pic>
              </a:graphicData>
            </a:graphic>
          </wp:anchor>
        </w:drawing>
        <w:drawing>
          <wp:anchor simplePos="0" relativeHeight="251657728" behindDoc="1" locked="0" layoutInCell="0" allowOverlap="1">
            <wp:simplePos x="0" y="0"/>
            <wp:positionH relativeFrom="column">
              <wp:posOffset>5320665</wp:posOffset>
            </wp:positionH>
            <wp:positionV relativeFrom="paragraph">
              <wp:posOffset>-151130</wp:posOffset>
            </wp:positionV>
            <wp:extent cx="54864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4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6.21. </w:t>
      </w:r>
      <w:r>
        <w:rPr>
          <w:rFonts w:ascii="Times New Roman" w:cs="Times New Roman" w:eastAsia="Times New Roman" w:hAnsi="Times New Roman"/>
          <w:sz w:val="18"/>
          <w:szCs w:val="18"/>
          <w:u w:val="single" w:color="auto"/>
          <w:color w:val="auto"/>
        </w:rPr>
        <w:t>Acknowledgement Regarding Any Supported QFCs</w:t>
      </w:r>
      <w:r>
        <w:rPr>
          <w:rFonts w:ascii="Times New Roman" w:cs="Times New Roman" w:eastAsia="Times New Roman" w:hAnsi="Times New Roman"/>
          <w:sz w:val="18"/>
          <w:szCs w:val="18"/>
          <w:color w:val="auto"/>
        </w:rPr>
        <w:t>. To the extent that the Transaction Documents provide support, through a guarantee or otherwise, for any swap contract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Transaction Documents and any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202" w:name="page203"/>
    <w:bookmarkEnd w:id="202"/>
    <w:p>
      <w:pPr>
        <w:ind w:left="4" w:right="2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Supported QFC may in fact be stated to be governed by the laws of the State of New York and/or of the United States or any other state of the United States):</w:t>
      </w:r>
    </w:p>
    <w:p>
      <w:pPr>
        <w:spacing w:after="0" w:line="54" w:lineRule="exact"/>
        <w:rPr>
          <w:sz w:val="20"/>
          <w:szCs w:val="20"/>
          <w:color w:val="auto"/>
        </w:rPr>
      </w:pPr>
    </w:p>
    <w:p>
      <w:pPr>
        <w:ind w:left="4" w:firstLine="987"/>
        <w:spacing w:after="0" w:line="253" w:lineRule="auto"/>
        <w:tabs>
          <w:tab w:leader="none" w:pos="124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Transaction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Transaction Documents were governed by the laws of the United States or a state of the United States. Without limitation of the foregoing, it is understood and agreed that rights and remedies of the parties with respect to a defaulting Purchaser or Purchaser Agent shall in no event affect the rights of any Covered Party with respect to a Supported QFC or any QFC Credit Support.</w:t>
      </w:r>
    </w:p>
    <w:p>
      <w:pPr>
        <w:spacing w:after="0" w:line="83"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used in this </w:t>
      </w:r>
      <w:r>
        <w:rPr>
          <w:rFonts w:ascii="Times New Roman" w:cs="Times New Roman" w:eastAsia="Times New Roman" w:hAnsi="Times New Roman"/>
          <w:sz w:val="18"/>
          <w:szCs w:val="18"/>
          <w:u w:val="single" w:color="auto"/>
          <w:color w:val="auto"/>
        </w:rPr>
        <w:t>Section 6.21</w:t>
      </w:r>
      <w:r>
        <w:rPr>
          <w:rFonts w:ascii="Times New Roman" w:cs="Times New Roman" w:eastAsia="Times New Roman" w:hAnsi="Times New Roman"/>
          <w:sz w:val="18"/>
          <w:szCs w:val="18"/>
          <w:color w:val="auto"/>
        </w:rPr>
        <w:t>, the following terms have the following meanings: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 of such</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party.</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w:t>
      </w:r>
    </w:p>
    <w:p>
      <w:pPr>
        <w:spacing w:after="0" w:line="27" w:lineRule="exact"/>
        <w:rPr>
          <w:sz w:val="20"/>
          <w:szCs w:val="20"/>
          <w:color w:val="auto"/>
        </w:rPr>
      </w:pPr>
    </w:p>
    <w:p>
      <w:pPr>
        <w:ind w:left="4" w:right="40" w:hanging="4"/>
        <w:spacing w:after="0" w:line="260" w:lineRule="auto"/>
        <w:tabs>
          <w:tab w:leader="none" w:pos="139"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252.82(b); (ii) a “covered bank” as that term is defined in, and interpreted in accordance with, 12 C.F.R. § 47.3(b); or (iii) a “covered FSI” as that term is defined in, and interpreted in accordance with, 12 C.F.R. § 382.2(b).</w:t>
      </w:r>
    </w:p>
    <w:p>
      <w:pPr>
        <w:spacing w:after="0" w:line="181" w:lineRule="exact"/>
        <w:rPr>
          <w:sz w:val="20"/>
          <w:szCs w:val="20"/>
          <w:color w:val="auto"/>
        </w:rPr>
      </w:pPr>
    </w:p>
    <w:p>
      <w:pPr>
        <w:ind w:left="4"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 5390(c)(8)</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4"/>
          </w:cols>
          <w:pgMar w:left="436" w:top="270" w:right="459" w:bottom="1440" w:gutter="0" w:footer="0" w:header="0"/>
        </w:sectPr>
      </w:pPr>
    </w:p>
    <w:bookmarkStart w:id="203" w:name="page204"/>
    <w:bookmarkEnd w:id="203"/>
    <w:p>
      <w:pPr>
        <w:ind w:right="2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caused this Agreement to be executed by their respective officers thereunto duly authorized,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first above written.</w:t>
      </w:r>
    </w:p>
    <w:p>
      <w:pPr>
        <w:spacing w:after="0" w:line="18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WESCO RECEIVABLES CORP.,</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Seller</w:t>
      </w:r>
    </w:p>
    <w:p>
      <w:pPr>
        <w:spacing w:after="0" w:line="20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tbl>
      <w:tblPr>
        <w:tblLayout w:type="fixed"/>
        <w:tblInd w:w="534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WESCO DISTRIBUTION, INC.,as Servicer</w:t>
            </w:r>
          </w:p>
        </w:tc>
        <w:tc>
          <w:tcPr>
            <w:tcW w:w="0" w:type="dxa"/>
            <w:vAlign w:val="bottom"/>
          </w:tcPr>
          <w:p>
            <w:pPr>
              <w:spacing w:after="0"/>
              <w:rPr>
                <w:sz w:val="1"/>
                <w:szCs w:val="1"/>
                <w:color w:val="auto"/>
              </w:rPr>
            </w:pPr>
          </w:p>
        </w:tc>
      </w:tr>
      <w:tr>
        <w:trPr>
          <w:trHeight w:val="432"/>
        </w:trPr>
        <w:tc>
          <w:tcPr>
            <w:tcW w:w="760" w:type="dxa"/>
            <w:vAlign w:val="bottom"/>
          </w:tcPr>
          <w:p>
            <w:pPr>
              <w:spacing w:after="0"/>
              <w:rPr>
                <w:sz w:val="24"/>
                <w:szCs w:val="24"/>
                <w:color w:val="auto"/>
              </w:rPr>
            </w:pPr>
          </w:p>
        </w:tc>
        <w:tc>
          <w:tcPr>
            <w:tcW w:w="4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11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Name:</w:t>
            </w:r>
          </w:p>
        </w:tc>
        <w:tc>
          <w:tcPr>
            <w:tcW w:w="382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11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S-1</w:t>
            </w:r>
          </w:p>
        </w:tc>
        <w:tc>
          <w:tcPr>
            <w:tcW w:w="1100" w:type="dxa"/>
            <w:vAlign w:val="bottom"/>
          </w:tcPr>
          <w:p>
            <w:pPr>
              <w:spacing w:after="0"/>
              <w:rPr>
                <w:sz w:val="24"/>
                <w:szCs w:val="24"/>
                <w:color w:val="auto"/>
              </w:rPr>
            </w:pPr>
          </w:p>
        </w:tc>
        <w:tc>
          <w:tcPr>
            <w:tcW w:w="3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Fifth Amended and Restated</w:t>
            </w:r>
          </w:p>
        </w:tc>
        <w:tc>
          <w:tcPr>
            <w:tcW w:w="0" w:type="dxa"/>
            <w:vAlign w:val="bottom"/>
          </w:tcPr>
          <w:p>
            <w:pPr>
              <w:spacing w:after="0"/>
              <w:rPr>
                <w:sz w:val="1"/>
                <w:szCs w:val="1"/>
                <w:color w:val="auto"/>
              </w:rPr>
            </w:pPr>
          </w:p>
        </w:tc>
      </w:tr>
      <w:tr>
        <w:trPr>
          <w:trHeight w:val="128"/>
        </w:trPr>
        <w:tc>
          <w:tcPr>
            <w:tcW w:w="76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38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Receivables Purchase Agreement</w:t>
            </w:r>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204" w:name="page205"/>
    <w:bookmarkEnd w:id="204"/>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PNC BANK, NATIONAL ASSOCIATION,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Committed Purchaser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PNC BANK, NATIONAL ASSOCIATION, as Purchaser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Agent for PNC Bank, National Association</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tbl>
      <w:tblPr>
        <w:tblLayout w:type="fixed"/>
        <w:tblInd w:w="434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w w:val="99"/>
              </w:rPr>
              <w:t>PNC BANK, NATIONAL ASSOCIATION,as Administrator</w:t>
            </w:r>
          </w:p>
        </w:tc>
        <w:tc>
          <w:tcPr>
            <w:tcW w:w="0" w:type="dxa"/>
            <w:vAlign w:val="bottom"/>
          </w:tcPr>
          <w:p>
            <w:pPr>
              <w:spacing w:after="0"/>
              <w:rPr>
                <w:sz w:val="1"/>
                <w:szCs w:val="1"/>
                <w:color w:val="auto"/>
              </w:rPr>
            </w:pPr>
          </w:p>
        </w:tc>
      </w:tr>
      <w:tr>
        <w:trPr>
          <w:trHeight w:val="432"/>
        </w:trPr>
        <w:tc>
          <w:tcPr>
            <w:tcW w:w="760" w:type="dxa"/>
            <w:vAlign w:val="bottom"/>
          </w:tcPr>
          <w:p>
            <w:pPr>
              <w:spacing w:after="0"/>
              <w:rPr>
                <w:sz w:val="24"/>
                <w:szCs w:val="24"/>
                <w:color w:val="auto"/>
              </w:rPr>
            </w:pPr>
          </w:p>
        </w:tc>
        <w:tc>
          <w:tcPr>
            <w:tcW w:w="4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11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Name:</w:t>
            </w:r>
          </w:p>
        </w:tc>
        <w:tc>
          <w:tcPr>
            <w:tcW w:w="382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11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S-2</w:t>
            </w:r>
          </w:p>
        </w:tc>
        <w:tc>
          <w:tcPr>
            <w:tcW w:w="1100" w:type="dxa"/>
            <w:vAlign w:val="bottom"/>
          </w:tcPr>
          <w:p>
            <w:pPr>
              <w:spacing w:after="0"/>
              <w:rPr>
                <w:sz w:val="24"/>
                <w:szCs w:val="24"/>
                <w:color w:val="auto"/>
              </w:rPr>
            </w:pPr>
          </w:p>
        </w:tc>
        <w:tc>
          <w:tcPr>
            <w:tcW w:w="3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Fifth Amended and Restated</w:t>
            </w:r>
          </w:p>
        </w:tc>
        <w:tc>
          <w:tcPr>
            <w:tcW w:w="0" w:type="dxa"/>
            <w:vAlign w:val="bottom"/>
          </w:tcPr>
          <w:p>
            <w:pPr>
              <w:spacing w:after="0"/>
              <w:rPr>
                <w:sz w:val="1"/>
                <w:szCs w:val="1"/>
                <w:color w:val="auto"/>
              </w:rPr>
            </w:pPr>
          </w:p>
        </w:tc>
      </w:tr>
      <w:tr>
        <w:trPr>
          <w:trHeight w:val="128"/>
        </w:trPr>
        <w:tc>
          <w:tcPr>
            <w:tcW w:w="76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38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Receivables Purchase Agreement</w:t>
            </w:r>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0020"/>
          </w:cols>
          <w:pgMar w:left="1440" w:top="270" w:right="439" w:bottom="1440" w:gutter="0" w:footer="0" w:header="0"/>
        </w:sectPr>
      </w:pPr>
    </w:p>
    <w:bookmarkStart w:id="205" w:name="page206"/>
    <w:bookmarkEnd w:id="205"/>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WELLS FARGO BANK, NATIONAL ASSOCIATION, as a</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Committed Purchaser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WELLS FARGO BANK, NATIONAL ASSOCIATION, as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Purchaser Agent for Wells Fargo Bank, National Association</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3" w:lineRule="exact"/>
        <w:rPr>
          <w:sz w:val="20"/>
          <w:szCs w:val="20"/>
          <w:color w:val="auto"/>
        </w:rPr>
      </w:pPr>
    </w:p>
    <w:tbl>
      <w:tblPr>
        <w:tblLayout w:type="fixed"/>
        <w:tblInd w:w="4340" w:type="dxa"/>
        <w:tblCellMar>
          <w:top w:w="0" w:type="dxa"/>
          <w:left w:w="0" w:type="dxa"/>
          <w:bottom w:w="0" w:type="dxa"/>
          <w:right w:w="0" w:type="dxa"/>
        </w:tblCellMar>
      </w:tblPr>
      <w:tr>
        <w:trPr>
          <w:trHeight w:val="216"/>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S-3</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Fifth Amended and Restated</w:t>
            </w:r>
          </w:p>
        </w:tc>
        <w:tc>
          <w:tcPr>
            <w:tcW w:w="0" w:type="dxa"/>
            <w:vAlign w:val="bottom"/>
          </w:tcPr>
          <w:p>
            <w:pPr>
              <w:spacing w:after="0"/>
              <w:rPr>
                <w:sz w:val="1"/>
                <w:szCs w:val="1"/>
                <w:color w:val="auto"/>
              </w:rPr>
            </w:pPr>
          </w:p>
        </w:tc>
      </w:tr>
      <w:tr>
        <w:trPr>
          <w:trHeight w:val="128"/>
        </w:trPr>
        <w:tc>
          <w:tcPr>
            <w:tcW w:w="1760" w:type="dxa"/>
            <w:vAlign w:val="bottom"/>
            <w:vMerge w:val="continue"/>
          </w:tcPr>
          <w:p>
            <w:pPr>
              <w:spacing w:after="0"/>
              <w:rPr>
                <w:sz w:val="11"/>
                <w:szCs w:val="11"/>
                <w:color w:val="auto"/>
              </w:rPr>
            </w:pPr>
          </w:p>
        </w:tc>
        <w:tc>
          <w:tcPr>
            <w:tcW w:w="3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Receivables Purchase Agreement</w:t>
            </w: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3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0020"/>
          </w:cols>
          <w:pgMar w:left="1440" w:top="270" w:right="439" w:bottom="1440" w:gutter="0" w:footer="0" w:header="0"/>
        </w:sectPr>
      </w:pPr>
    </w:p>
    <w:bookmarkStart w:id="206" w:name="page207"/>
    <w:bookmarkEnd w:id="206"/>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FIFTH THIRD BANK, NATIONAL ASSOCIATION, as 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Committed Purchaser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FIFTH THIRD BANK, NATIONAL ASSOCIATION, as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Purchaser Agent for Fifth Third Bank, National Association</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3" w:lineRule="exact"/>
        <w:rPr>
          <w:sz w:val="20"/>
          <w:szCs w:val="20"/>
          <w:color w:val="auto"/>
        </w:rPr>
      </w:pPr>
    </w:p>
    <w:tbl>
      <w:tblPr>
        <w:tblLayout w:type="fixed"/>
        <w:tblInd w:w="4340" w:type="dxa"/>
        <w:tblCellMar>
          <w:top w:w="0" w:type="dxa"/>
          <w:left w:w="0" w:type="dxa"/>
          <w:bottom w:w="0" w:type="dxa"/>
          <w:right w:w="0" w:type="dxa"/>
        </w:tblCellMar>
      </w:tblPr>
      <w:tr>
        <w:trPr>
          <w:trHeight w:val="216"/>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S-4</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Fifth Amended and Restated</w:t>
            </w:r>
          </w:p>
        </w:tc>
        <w:tc>
          <w:tcPr>
            <w:tcW w:w="0" w:type="dxa"/>
            <w:vAlign w:val="bottom"/>
          </w:tcPr>
          <w:p>
            <w:pPr>
              <w:spacing w:after="0"/>
              <w:rPr>
                <w:sz w:val="1"/>
                <w:szCs w:val="1"/>
                <w:color w:val="auto"/>
              </w:rPr>
            </w:pPr>
          </w:p>
        </w:tc>
      </w:tr>
      <w:tr>
        <w:trPr>
          <w:trHeight w:val="128"/>
        </w:trPr>
        <w:tc>
          <w:tcPr>
            <w:tcW w:w="1760" w:type="dxa"/>
            <w:vAlign w:val="bottom"/>
            <w:vMerge w:val="continue"/>
          </w:tcPr>
          <w:p>
            <w:pPr>
              <w:spacing w:after="0"/>
              <w:rPr>
                <w:sz w:val="11"/>
                <w:szCs w:val="11"/>
                <w:color w:val="auto"/>
              </w:rPr>
            </w:pPr>
          </w:p>
        </w:tc>
        <w:tc>
          <w:tcPr>
            <w:tcW w:w="3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Receivables Purchase Agreement</w:t>
            </w: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3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0020"/>
          </w:cols>
          <w:pgMar w:left="1440" w:top="270" w:right="439" w:bottom="1440" w:gutter="0" w:footer="0" w:header="0"/>
        </w:sectPr>
      </w:pPr>
    </w:p>
    <w:bookmarkStart w:id="207" w:name="page208"/>
    <w:bookmarkEnd w:id="207"/>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LIBERTY STREET FUNDING LLC, as a Conduit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Purchaser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tbl>
      <w:tblPr>
        <w:tblLayout w:type="fixed"/>
        <w:tblInd w:w="4340" w:type="dxa"/>
        <w:tblCellMar>
          <w:top w:w="0" w:type="dxa"/>
          <w:left w:w="0" w:type="dxa"/>
          <w:bottom w:w="0" w:type="dxa"/>
          <w:right w:w="0" w:type="dxa"/>
        </w:tblCellMar>
      </w:tblPr>
      <w:tr>
        <w:trPr>
          <w:trHeight w:val="20"/>
        </w:trPr>
        <w:tc>
          <w:tcPr>
            <w:tcW w:w="1280" w:type="dxa"/>
            <w:vAlign w:val="bottom"/>
          </w:tcPr>
          <w:p>
            <w:pPr>
              <w:spacing w:after="0" w:line="20" w:lineRule="exact"/>
              <w:rPr>
                <w:sz w:val="1"/>
                <w:szCs w:val="1"/>
                <w:color w:val="auto"/>
              </w:rPr>
            </w:pPr>
          </w:p>
        </w:tc>
        <w:tc>
          <w:tcPr>
            <w:tcW w:w="27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w w:val="99"/>
              </w:rPr>
              <w:t>THE BANK OF NOVA SCOTIA, as</w:t>
            </w: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FF0000"/>
                <w:strike w:val="1"/>
                <w:w w:val="98"/>
              </w:rPr>
              <w:t>a Committed Purchaser</w:t>
            </w: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280" w:type="dxa"/>
            <w:vAlign w:val="bottom"/>
          </w:tcPr>
          <w:p>
            <w:pPr>
              <w:spacing w:after="0"/>
              <w:rPr>
                <w:sz w:val="18"/>
                <w:szCs w:val="18"/>
                <w:color w:val="auto"/>
              </w:rPr>
            </w:pPr>
          </w:p>
        </w:tc>
        <w:tc>
          <w:tcPr>
            <w:tcW w:w="2700" w:type="dxa"/>
            <w:vAlign w:val="bottom"/>
            <w:gridSpan w:val="4"/>
            <w:vMerge w:val="continue"/>
          </w:tcPr>
          <w:p>
            <w:pPr>
              <w:spacing w:after="0"/>
              <w:rPr>
                <w:sz w:val="18"/>
                <w:szCs w:val="18"/>
                <w:color w:val="auto"/>
              </w:rPr>
            </w:pPr>
          </w:p>
        </w:tc>
        <w:tc>
          <w:tcPr>
            <w:tcW w:w="17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By:</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Name:</w:t>
            </w:r>
          </w:p>
        </w:tc>
        <w:tc>
          <w:tcPr>
            <w:tcW w:w="15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Title:</w:t>
            </w:r>
          </w:p>
        </w:tc>
        <w:tc>
          <w:tcPr>
            <w:tcW w:w="15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1280" w:type="dxa"/>
            <w:vAlign w:val="bottom"/>
          </w:tcPr>
          <w:p>
            <w:pPr>
              <w:spacing w:after="0"/>
              <w:rPr>
                <w:sz w:val="24"/>
                <w:szCs w:val="24"/>
                <w:color w:val="auto"/>
              </w:rPr>
            </w:pP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FF0000"/>
                <w:strike w:val="1"/>
                <w:w w:val="99"/>
              </w:rPr>
              <w:t>THE BANK OF NOVA SCOTIA, as</w:t>
            </w:r>
          </w:p>
        </w:tc>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Purchaser Agent for</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FF0000"/>
                <w:strike w:val="1"/>
              </w:rPr>
              <w:t>The Bank of Nova Scotia and</w:t>
            </w:r>
          </w:p>
        </w:tc>
        <w:tc>
          <w:tcPr>
            <w:tcW w:w="2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Liberty Street Funding LLC</w:t>
            </w:r>
          </w:p>
        </w:tc>
        <w:tc>
          <w:tcPr>
            <w:tcW w:w="0" w:type="dxa"/>
            <w:vAlign w:val="bottom"/>
          </w:tcPr>
          <w:p>
            <w:pPr>
              <w:spacing w:after="0"/>
              <w:rPr>
                <w:sz w:val="1"/>
                <w:szCs w:val="1"/>
                <w:color w:val="auto"/>
              </w:rPr>
            </w:pPr>
          </w:p>
        </w:tc>
      </w:tr>
      <w:tr>
        <w:trPr>
          <w:trHeight w:val="194"/>
        </w:trPr>
        <w:tc>
          <w:tcPr>
            <w:tcW w:w="1280" w:type="dxa"/>
            <w:vAlign w:val="bottom"/>
          </w:tcPr>
          <w:p>
            <w:pPr>
              <w:spacing w:after="0"/>
              <w:rPr>
                <w:sz w:val="16"/>
                <w:szCs w:val="16"/>
                <w:color w:val="auto"/>
              </w:rPr>
            </w:pPr>
          </w:p>
        </w:tc>
        <w:tc>
          <w:tcPr>
            <w:tcW w:w="442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0000FF"/>
              </w:rPr>
              <w:t>and as a Committed Purchaser</w:t>
            </w: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580" w:type="dxa"/>
            <w:vAlign w:val="bottom"/>
            <w:tcBorders>
              <w:top w:val="single" w:sz="8" w:color="0000FF"/>
              <w:bottom w:val="single" w:sz="8" w:color="0000FF"/>
            </w:tcBorders>
          </w:tcPr>
          <w:p>
            <w:pPr>
              <w:spacing w:after="0"/>
              <w:rPr>
                <w:sz w:val="2"/>
                <w:szCs w:val="2"/>
                <w:color w:val="auto"/>
              </w:rPr>
            </w:pPr>
          </w:p>
        </w:tc>
        <w:tc>
          <w:tcPr>
            <w:tcW w:w="15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9"/>
        </w:trPr>
        <w:tc>
          <w:tcPr>
            <w:tcW w:w="1280" w:type="dxa"/>
            <w:vAlign w:val="bottom"/>
          </w:tcPr>
          <w:p>
            <w:pPr>
              <w:spacing w:after="0"/>
              <w:rPr>
                <w:sz w:val="24"/>
                <w:szCs w:val="24"/>
                <w:color w:val="auto"/>
              </w:rPr>
            </w:pPr>
          </w:p>
        </w:tc>
        <w:tc>
          <w:tcPr>
            <w:tcW w:w="4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5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5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S-5</w:t>
            </w:r>
          </w:p>
        </w:tc>
        <w:tc>
          <w:tcPr>
            <w:tcW w:w="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Fifth Amended and Restated</w:t>
            </w:r>
          </w:p>
        </w:tc>
        <w:tc>
          <w:tcPr>
            <w:tcW w:w="0" w:type="dxa"/>
            <w:vAlign w:val="bottom"/>
          </w:tcPr>
          <w:p>
            <w:pPr>
              <w:spacing w:after="0"/>
              <w:rPr>
                <w:sz w:val="1"/>
                <w:szCs w:val="1"/>
                <w:color w:val="auto"/>
              </w:rPr>
            </w:pPr>
          </w:p>
        </w:tc>
      </w:tr>
      <w:tr>
        <w:trPr>
          <w:trHeight w:val="128"/>
        </w:trPr>
        <w:tc>
          <w:tcPr>
            <w:tcW w:w="128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3840" w:type="dxa"/>
            <w:vAlign w:val="bottom"/>
            <w:gridSpan w:val="5"/>
            <w:vMerge w:val="restart"/>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Receivables Purchase Agreement</w:t>
            </w:r>
          </w:p>
        </w:tc>
        <w:tc>
          <w:tcPr>
            <w:tcW w:w="0" w:type="dxa"/>
            <w:vAlign w:val="bottom"/>
          </w:tcPr>
          <w:p>
            <w:pPr>
              <w:spacing w:after="0"/>
              <w:rPr>
                <w:sz w:val="1"/>
                <w:szCs w:val="1"/>
                <w:color w:val="auto"/>
              </w:rPr>
            </w:pPr>
          </w:p>
        </w:tc>
      </w:tr>
      <w:tr>
        <w:trPr>
          <w:trHeight w:val="108"/>
        </w:trPr>
        <w:tc>
          <w:tcPr>
            <w:tcW w:w="1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0020"/>
          </w:cols>
          <w:pgMar w:left="1440" w:top="270" w:right="439" w:bottom="1440" w:gutter="0" w:footer="0" w:header="0"/>
        </w:sectPr>
      </w:pPr>
    </w:p>
    <w:bookmarkStart w:id="208" w:name="page209"/>
    <w:bookmarkEnd w:id="208"/>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COMPUTERSHARE TRUST COMPANY OF CANADA,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 its capacity as trustee of RELIANT TRUST, by its U.S.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Financial Services Agent, THE TORONTO-DOMINION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BANK, as a Conduit Purchaser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FF0000"/>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FF0000"/>
          <w:strike w:val="1"/>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FF0000"/>
          <w:strike w:val="1"/>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FF0000"/>
          <w:strike w:val="1"/>
        </w:rPr>
        <w:t>THE TORONTO-DOMINION BANK, as a Committed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FF0000"/>
          <w:strike w:val="1"/>
        </w:rPr>
        <w:t>Purchaser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0000FF"/>
        </w:rPr>
        <w:t>GTA FUNDING LLC, as a Conduit Purchaser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FF0000"/>
          <w:strike w:val="1"/>
        </w:rPr>
        <w:t>THE TORONTO-DOMINION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-121920</wp:posOffset>
            </wp:positionV>
            <wp:extent cx="211772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117725" cy="8255"/>
                    </a:xfrm>
                    <a:prstGeom prst="rect">
                      <a:avLst/>
                    </a:prstGeom>
                    <a:noFill/>
                  </pic:spPr>
                </pic:pic>
              </a:graphicData>
            </a:graphic>
          </wp:anchor>
        </w:drawing>
      </w:r>
    </w:p>
    <w:p>
      <w:pPr>
        <w:spacing w:after="0" w:line="18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0000FF"/>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0000FF"/>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42570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-127635</wp:posOffset>
            </wp:positionV>
            <wp:extent cx="16319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0000FF"/>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-127635</wp:posOffset>
            </wp:positionV>
            <wp:extent cx="2794635" cy="16319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794635" cy="163195"/>
                    </a:xfrm>
                    <a:prstGeom prst="rect">
                      <a:avLst/>
                    </a:prstGeom>
                    <a:noFill/>
                  </pic:spPr>
                </pic:pic>
              </a:graphicData>
            </a:graphic>
          </wp:anchor>
        </w:drawing>
      </w:r>
    </w:p>
    <w:p>
      <w:pPr>
        <w:spacing w:after="0" w:line="2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0000FF"/>
        </w:rPr>
        <w:t>THE TORONTO-DOMINION BANK,</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 Purchaser Agent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for </w:t>
      </w:r>
      <w:r>
        <w:rPr>
          <w:rFonts w:ascii="Times New Roman" w:cs="Times New Roman" w:eastAsia="Times New Roman" w:hAnsi="Times New Roman"/>
          <w:sz w:val="18"/>
          <w:szCs w:val="18"/>
          <w:color w:val="FF0000"/>
          <w:strike w:val="1"/>
        </w:rPr>
        <w:t>The Toronto-Dominion Bank and</w:t>
      </w:r>
      <w:r>
        <w:rPr>
          <w:rFonts w:ascii="Times New Roman" w:cs="Times New Roman" w:eastAsia="Times New Roman" w:hAnsi="Times New Roman"/>
          <w:sz w:val="18"/>
          <w:szCs w:val="18"/>
          <w:color w:val="auto"/>
        </w:rPr>
        <w:t xml:space="preserve"> Reliant Trust </w:t>
      </w:r>
      <w:r>
        <w:rPr>
          <w:rFonts w:ascii="Times New Roman" w:cs="Times New Roman" w:eastAsia="Times New Roman" w:hAnsi="Times New Roman"/>
          <w:sz w:val="18"/>
          <w:szCs w:val="18"/>
          <w:color w:val="0000FF"/>
        </w:rPr>
        <w:t>and GTA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-121920</wp:posOffset>
            </wp:positionV>
            <wp:extent cx="182562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82562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5880100</wp:posOffset>
            </wp:positionH>
            <wp:positionV relativeFrom="paragraph">
              <wp:posOffset>-19050</wp:posOffset>
            </wp:positionV>
            <wp:extent cx="44767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47675" cy="825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u w:val="single" w:color="auto"/>
          <w:color w:val="0000FF"/>
        </w:rPr>
        <w:t>Funding LLC and a Committed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5877560</wp:posOffset>
            </wp:positionH>
            <wp:positionV relativeFrom="paragraph">
              <wp:posOffset>-121920</wp:posOffset>
            </wp:positionV>
            <wp:extent cx="44577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14605</wp:posOffset>
            </wp:positionV>
            <wp:extent cx="192024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18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49" w:lineRule="exact"/>
        <w:rPr>
          <w:sz w:val="20"/>
          <w:szCs w:val="20"/>
          <w:color w:val="auto"/>
        </w:rPr>
      </w:pPr>
    </w:p>
    <w:tbl>
      <w:tblPr>
        <w:tblLayout w:type="fixed"/>
        <w:tblInd w:w="4340" w:type="dxa"/>
        <w:tblCellMar>
          <w:top w:w="0" w:type="dxa"/>
          <w:left w:w="0" w:type="dxa"/>
          <w:bottom w:w="0" w:type="dxa"/>
          <w:right w:w="0" w:type="dxa"/>
        </w:tblCellMar>
      </w:tblPr>
      <w:tr>
        <w:trPr>
          <w:trHeight w:val="216"/>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S-6</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Fifth Amended and Restated</w:t>
            </w:r>
          </w:p>
        </w:tc>
        <w:tc>
          <w:tcPr>
            <w:tcW w:w="0" w:type="dxa"/>
            <w:vAlign w:val="bottom"/>
          </w:tcPr>
          <w:p>
            <w:pPr>
              <w:spacing w:after="0"/>
              <w:rPr>
                <w:sz w:val="1"/>
                <w:szCs w:val="1"/>
                <w:color w:val="auto"/>
              </w:rPr>
            </w:pPr>
          </w:p>
        </w:tc>
      </w:tr>
      <w:tr>
        <w:trPr>
          <w:trHeight w:val="128"/>
        </w:trPr>
        <w:tc>
          <w:tcPr>
            <w:tcW w:w="1760" w:type="dxa"/>
            <w:vAlign w:val="bottom"/>
            <w:vMerge w:val="continue"/>
          </w:tcPr>
          <w:p>
            <w:pPr>
              <w:spacing w:after="0"/>
              <w:rPr>
                <w:sz w:val="11"/>
                <w:szCs w:val="11"/>
                <w:color w:val="auto"/>
              </w:rPr>
            </w:pPr>
          </w:p>
        </w:tc>
        <w:tc>
          <w:tcPr>
            <w:tcW w:w="3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Receivables Purchase Agreement</w:t>
            </w: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3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0020"/>
          </w:cols>
          <w:pgMar w:left="1440" w:top="270" w:right="439" w:bottom="1440" w:gutter="0" w:footer="0" w:header="0"/>
        </w:sectPr>
      </w:pPr>
    </w:p>
    <w:bookmarkStart w:id="209" w:name="page210"/>
    <w:bookmarkEnd w:id="209"/>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BANK OF AMERICA, NATIONAL ASSOCATION, as 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Committed Purchaser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BANK OF AMERICA, NATIONAL ASSOCATION, as 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Purchaser Agent for Bank of America, N.A.</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3" w:lineRule="exact"/>
        <w:rPr>
          <w:sz w:val="20"/>
          <w:szCs w:val="20"/>
          <w:color w:val="auto"/>
        </w:rPr>
      </w:pPr>
    </w:p>
    <w:tbl>
      <w:tblPr>
        <w:tblLayout w:type="fixed"/>
        <w:tblInd w:w="4340" w:type="dxa"/>
        <w:tblCellMar>
          <w:top w:w="0" w:type="dxa"/>
          <w:left w:w="0" w:type="dxa"/>
          <w:bottom w:w="0" w:type="dxa"/>
          <w:right w:w="0" w:type="dxa"/>
        </w:tblCellMar>
      </w:tblPr>
      <w:tr>
        <w:trPr>
          <w:trHeight w:val="216"/>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S-7</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Fifth Amended and Restated</w:t>
            </w:r>
          </w:p>
        </w:tc>
        <w:tc>
          <w:tcPr>
            <w:tcW w:w="0" w:type="dxa"/>
            <w:vAlign w:val="bottom"/>
          </w:tcPr>
          <w:p>
            <w:pPr>
              <w:spacing w:after="0"/>
              <w:rPr>
                <w:sz w:val="1"/>
                <w:szCs w:val="1"/>
                <w:color w:val="auto"/>
              </w:rPr>
            </w:pPr>
          </w:p>
        </w:tc>
      </w:tr>
      <w:tr>
        <w:trPr>
          <w:trHeight w:val="128"/>
        </w:trPr>
        <w:tc>
          <w:tcPr>
            <w:tcW w:w="1760" w:type="dxa"/>
            <w:vAlign w:val="bottom"/>
            <w:vMerge w:val="continue"/>
          </w:tcPr>
          <w:p>
            <w:pPr>
              <w:spacing w:after="0"/>
              <w:rPr>
                <w:sz w:val="11"/>
                <w:szCs w:val="11"/>
                <w:color w:val="auto"/>
              </w:rPr>
            </w:pPr>
          </w:p>
        </w:tc>
        <w:tc>
          <w:tcPr>
            <w:tcW w:w="3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Receivables Purchase Agreement</w:t>
            </w: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3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0020"/>
          </w:cols>
          <w:pgMar w:left="1440" w:top="270" w:right="439" w:bottom="1440" w:gutter="0" w:footer="0" w:header="0"/>
        </w:sectPr>
      </w:pPr>
    </w:p>
    <w:bookmarkStart w:id="210" w:name="page211"/>
    <w:bookmarkEnd w:id="210"/>
    <w:p>
      <w:pPr>
        <w:ind w:left="5620"/>
        <w:spacing w:after="0"/>
        <w:rPr>
          <w:sz w:val="20"/>
          <w:szCs w:val="20"/>
          <w:color w:val="auto"/>
        </w:rPr>
      </w:pPr>
      <w:r>
        <w:rPr>
          <w:rFonts w:ascii="Times New Roman" w:cs="Times New Roman" w:eastAsia="Times New Roman" w:hAnsi="Times New Roman"/>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CANADIAN IMPERIAL BANK OF COMMERCE,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FF0000"/>
          <w:strike w:val="1"/>
        </w:rPr>
        <w:t>as a Committed Purchaser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FF0000"/>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5715</wp:posOffset>
            </wp:positionV>
            <wp:extent cx="242570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FF0000"/>
          <w:strike w:val="1"/>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FF0000"/>
          <w:strike w:val="1"/>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FF0000"/>
          <w:strike w:val="1"/>
        </w:rPr>
        <w:t>CANADIAN IMPERIAL BANK OF COMMERCE,</w:t>
      </w:r>
    </w:p>
    <w:p>
      <w:pPr>
        <w:spacing w:after="0" w:line="156" w:lineRule="exact"/>
        <w:rPr>
          <w:sz w:val="20"/>
          <w:szCs w:val="20"/>
          <w:color w:val="auto"/>
        </w:rPr>
      </w:pPr>
    </w:p>
    <w:tbl>
      <w:tblPr>
        <w:tblLayout w:type="fixed"/>
        <w:tblInd w:w="4340" w:type="dxa"/>
        <w:tblCellMar>
          <w:top w:w="0" w:type="dxa"/>
          <w:left w:w="0" w:type="dxa"/>
          <w:bottom w:w="0" w:type="dxa"/>
          <w:right w:w="0" w:type="dxa"/>
        </w:tblCellMar>
      </w:tblPr>
      <w:tr>
        <w:trPr>
          <w:trHeight w:val="216"/>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S-8</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Fifth Amended and Restated</w:t>
            </w:r>
          </w:p>
        </w:tc>
        <w:tc>
          <w:tcPr>
            <w:tcW w:w="0" w:type="dxa"/>
            <w:vAlign w:val="bottom"/>
          </w:tcPr>
          <w:p>
            <w:pPr>
              <w:spacing w:after="0"/>
              <w:rPr>
                <w:sz w:val="1"/>
                <w:szCs w:val="1"/>
                <w:color w:val="auto"/>
              </w:rPr>
            </w:pPr>
          </w:p>
        </w:tc>
      </w:tr>
      <w:tr>
        <w:trPr>
          <w:trHeight w:val="128"/>
        </w:trPr>
        <w:tc>
          <w:tcPr>
            <w:tcW w:w="1760" w:type="dxa"/>
            <w:vAlign w:val="bottom"/>
            <w:vMerge w:val="continue"/>
          </w:tcPr>
          <w:p>
            <w:pPr>
              <w:spacing w:after="0"/>
              <w:rPr>
                <w:sz w:val="11"/>
                <w:szCs w:val="11"/>
                <w:color w:val="auto"/>
              </w:rPr>
            </w:pPr>
          </w:p>
        </w:tc>
        <w:tc>
          <w:tcPr>
            <w:tcW w:w="3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Receivables Purchase Agreement</w:t>
            </w: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3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0020"/>
          </w:cols>
          <w:pgMar w:left="1440" w:top="270" w:right="439" w:bottom="1440" w:gutter="0" w:footer="0" w:header="0"/>
        </w:sectPr>
      </w:pPr>
    </w:p>
    <w:bookmarkStart w:id="211" w:name="page212"/>
    <w:bookmarkEnd w:id="211"/>
    <w:p>
      <w:pPr>
        <w:ind w:left="56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CANADIAN IMPERIAL BANK OF COMMERCE,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 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Purchaser Agent for </w:t>
      </w:r>
      <w:r>
        <w:rPr>
          <w:rFonts w:ascii="Times New Roman" w:cs="Times New Roman" w:eastAsia="Times New Roman" w:hAnsi="Times New Roman"/>
          <w:sz w:val="18"/>
          <w:szCs w:val="18"/>
          <w:color w:val="FF0000"/>
          <w:strike w:val="1"/>
        </w:rPr>
        <w:t>Canadian Imperial Bank of Commerce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-121920</wp:posOffset>
            </wp:positionV>
            <wp:extent cx="244284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Macro Trust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FF"/>
        </w:rPr>
        <w:t>and Bay Square Funding LLC and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4320540</wp:posOffset>
            </wp:positionH>
            <wp:positionV relativeFrom="paragraph">
              <wp:posOffset>-19050</wp:posOffset>
            </wp:positionV>
            <wp:extent cx="180213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802130" cy="825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u w:val="single" w:color="auto"/>
          <w:color w:val="0000FF"/>
        </w:rPr>
        <w:t>Committed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4317365</wp:posOffset>
            </wp:positionH>
            <wp:positionV relativeFrom="paragraph">
              <wp:posOffset>-121920</wp:posOffset>
            </wp:positionV>
            <wp:extent cx="18084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80848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14605</wp:posOffset>
            </wp:positionV>
            <wp:extent cx="99441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8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0000FF"/>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0000FF"/>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42570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-127635</wp:posOffset>
            </wp:positionV>
            <wp:extent cx="16319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0000FF"/>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-127635</wp:posOffset>
            </wp:positionV>
            <wp:extent cx="2794635" cy="16319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794635" cy="163195"/>
                    </a:xfrm>
                    <a:prstGeom prst="rect">
                      <a:avLst/>
                    </a:prstGeom>
                    <a:noFill/>
                  </pic:spPr>
                </pic:pic>
              </a:graphicData>
            </a:graphic>
          </wp:anchor>
        </w:drawing>
      </w:r>
    </w:p>
    <w:p>
      <w:pPr>
        <w:spacing w:after="0" w:line="219" w:lineRule="exact"/>
        <w:rPr>
          <w:sz w:val="20"/>
          <w:szCs w:val="20"/>
          <w:color w:val="auto"/>
        </w:rPr>
      </w:pPr>
    </w:p>
    <w:tbl>
      <w:tblPr>
        <w:tblLayout w:type="fixed"/>
        <w:tblInd w:w="434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44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BAY SQUARE FUNDING LLC, as a Conduit Purchaser</w:t>
            </w: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1120" w:type="dxa"/>
            <w:vAlign w:val="bottom"/>
            <w:tcBorders>
              <w:top w:val="single" w:sz="8" w:color="0000FF"/>
              <w:bottom w:val="single" w:sz="8" w:color="0000FF"/>
            </w:tcBorders>
          </w:tcPr>
          <w:p>
            <w:pPr>
              <w:spacing w:after="0"/>
              <w:rPr>
                <w:sz w:val="2"/>
                <w:szCs w:val="2"/>
                <w:color w:val="auto"/>
              </w:rPr>
            </w:pPr>
          </w:p>
        </w:tc>
        <w:tc>
          <w:tcPr>
            <w:tcW w:w="8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560" w:type="dxa"/>
            <w:vAlign w:val="bottom"/>
            <w:tcBorders>
              <w:top w:val="single" w:sz="8" w:color="0000FF"/>
              <w:bottom w:val="single" w:sz="8" w:color="0000FF"/>
            </w:tcBorders>
          </w:tcPr>
          <w:p>
            <w:pPr>
              <w:spacing w:after="0"/>
              <w:rPr>
                <w:sz w:val="2"/>
                <w:szCs w:val="2"/>
                <w:color w:val="auto"/>
              </w:rPr>
            </w:pPr>
          </w:p>
        </w:tc>
        <w:tc>
          <w:tcPr>
            <w:tcW w:w="1000" w:type="dxa"/>
            <w:vAlign w:val="bottom"/>
            <w:tcBorders>
              <w:top w:val="single" w:sz="8" w:color="0000FF"/>
              <w:bottom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1280" w:type="dxa"/>
            <w:vAlign w:val="bottom"/>
          </w:tcPr>
          <w:p>
            <w:pPr>
              <w:spacing w:after="0"/>
              <w:rPr>
                <w:sz w:val="24"/>
                <w:szCs w:val="24"/>
                <w:color w:val="auto"/>
              </w:rPr>
            </w:pPr>
          </w:p>
        </w:tc>
        <w:tc>
          <w:tcPr>
            <w:tcW w:w="44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28"/>
        </w:trPr>
        <w:tc>
          <w:tcPr>
            <w:tcW w:w="1280" w:type="dxa"/>
            <w:vAlign w:val="bottom"/>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58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FF"/>
              </w:rPr>
              <w:t>Name:</w:t>
            </w: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1280" w:type="dxa"/>
            <w:vAlign w:val="bottom"/>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4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FF"/>
              </w:rPr>
              <w:t>Title:</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1280" w:type="dxa"/>
            <w:vAlign w:val="bottom"/>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2"/>
        </w:trPr>
        <w:tc>
          <w:tcPr>
            <w:tcW w:w="1280" w:type="dxa"/>
            <w:vAlign w:val="bottom"/>
          </w:tcPr>
          <w:p>
            <w:pPr>
              <w:spacing w:after="0"/>
              <w:rPr>
                <w:sz w:val="24"/>
                <w:szCs w:val="24"/>
                <w:color w:val="auto"/>
              </w:rPr>
            </w:pPr>
          </w:p>
        </w:tc>
        <w:tc>
          <w:tcPr>
            <w:tcW w:w="44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28"/>
        </w:trPr>
        <w:tc>
          <w:tcPr>
            <w:tcW w:w="1280" w:type="dxa"/>
            <w:vAlign w:val="bottom"/>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58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FF"/>
              </w:rPr>
              <w:t>Name:</w:t>
            </w: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1280" w:type="dxa"/>
            <w:vAlign w:val="bottom"/>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4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FF"/>
              </w:rPr>
              <w:t>Title:</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1280" w:type="dxa"/>
            <w:vAlign w:val="bottom"/>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44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COMPUTERSHARE TRUST COMPANY OF CANADA,</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4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 its capacity as trustee of MACRO TRUST, by its</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4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Financial Services Agent, CANADIAN IMPERIAL BANK</w:t>
            </w:r>
          </w:p>
        </w:tc>
        <w:tc>
          <w:tcPr>
            <w:tcW w:w="0" w:type="dxa"/>
            <w:vAlign w:val="bottom"/>
          </w:tcPr>
          <w:p>
            <w:pPr>
              <w:spacing w:after="0"/>
              <w:rPr>
                <w:sz w:val="1"/>
                <w:szCs w:val="1"/>
                <w:color w:val="auto"/>
              </w:rPr>
            </w:pPr>
          </w:p>
        </w:tc>
      </w:tr>
      <w:tr>
        <w:trPr>
          <w:trHeight w:val="194"/>
        </w:trPr>
        <w:tc>
          <w:tcPr>
            <w:tcW w:w="1280" w:type="dxa"/>
            <w:vAlign w:val="bottom"/>
          </w:tcPr>
          <w:p>
            <w:pPr>
              <w:spacing w:after="0"/>
              <w:rPr>
                <w:sz w:val="16"/>
                <w:szCs w:val="16"/>
                <w:color w:val="auto"/>
              </w:rPr>
            </w:pPr>
          </w:p>
        </w:tc>
        <w:tc>
          <w:tcPr>
            <w:tcW w:w="170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auto"/>
              </w:rPr>
              <w:t>OF COMMERCE, as a</w:t>
            </w:r>
          </w:p>
        </w:tc>
        <w:tc>
          <w:tcPr>
            <w:tcW w:w="8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FF0000"/>
                <w:strike w:val="1"/>
                <w:w w:val="98"/>
              </w:rPr>
              <w:t>Committed</w:t>
            </w:r>
          </w:p>
        </w:tc>
        <w:tc>
          <w:tcPr>
            <w:tcW w:w="190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0000FF"/>
              </w:rPr>
              <w:t xml:space="preserve">Conduit </w:t>
            </w:r>
            <w:r>
              <w:rPr>
                <w:rFonts w:ascii="Times New Roman" w:cs="Times New Roman" w:eastAsia="Times New Roman" w:hAnsi="Times New Roman"/>
                <w:sz w:val="18"/>
                <w:szCs w:val="18"/>
                <w:color w:val="000000"/>
              </w:rPr>
              <w:t>Purchaser</w:t>
            </w: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60" w:type="dxa"/>
            <w:vAlign w:val="bottom"/>
            <w:tcBorders>
              <w:top w:val="single" w:sz="8" w:color="0000FF"/>
              <w:bottom w:val="single" w:sz="8" w:color="0000FF"/>
            </w:tcBorders>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8"/>
        </w:trPr>
        <w:tc>
          <w:tcPr>
            <w:tcW w:w="1280" w:type="dxa"/>
            <w:vAlign w:val="bottom"/>
          </w:tcPr>
          <w:p>
            <w:pPr>
              <w:spacing w:after="0"/>
              <w:rPr>
                <w:sz w:val="24"/>
                <w:szCs w:val="24"/>
                <w:color w:val="auto"/>
              </w:rPr>
            </w:pPr>
          </w:p>
        </w:tc>
        <w:tc>
          <w:tcPr>
            <w:tcW w:w="44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5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Name:</w:t>
            </w:r>
          </w:p>
        </w:tc>
        <w:tc>
          <w:tcPr>
            <w:tcW w:w="1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5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Title:</w:t>
            </w:r>
          </w:p>
        </w:tc>
        <w:tc>
          <w:tcPr>
            <w:tcW w:w="1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1280" w:type="dxa"/>
            <w:vAlign w:val="bottom"/>
          </w:tcPr>
          <w:p>
            <w:pPr>
              <w:spacing w:after="0"/>
              <w:rPr>
                <w:sz w:val="24"/>
                <w:szCs w:val="24"/>
                <w:color w:val="auto"/>
              </w:rPr>
            </w:pPr>
          </w:p>
        </w:tc>
        <w:tc>
          <w:tcPr>
            <w:tcW w:w="44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28"/>
        </w:trPr>
        <w:tc>
          <w:tcPr>
            <w:tcW w:w="1280" w:type="dxa"/>
            <w:vAlign w:val="bottom"/>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58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FF"/>
              </w:rPr>
              <w:t>Name:</w:t>
            </w: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1280" w:type="dxa"/>
            <w:vAlign w:val="bottom"/>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4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FF"/>
              </w:rPr>
              <w:t>Title:</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280" w:type="dxa"/>
            <w:vAlign w:val="bottom"/>
          </w:tcPr>
          <w:p>
            <w:pPr>
              <w:spacing w:after="0"/>
              <w:rPr>
                <w:sz w:val="3"/>
                <w:szCs w:val="3"/>
                <w:color w:val="auto"/>
              </w:rPr>
            </w:pPr>
          </w:p>
        </w:tc>
        <w:tc>
          <w:tcPr>
            <w:tcW w:w="240" w:type="dxa"/>
            <w:vAlign w:val="bottom"/>
            <w:tcBorders>
              <w:top w:val="single" w:sz="8" w:color="0000FF"/>
              <w:bottom w:val="single" w:sz="8" w:color="0000FF"/>
            </w:tcBorders>
          </w:tcPr>
          <w:p>
            <w:pPr>
              <w:spacing w:after="0"/>
              <w:rPr>
                <w:sz w:val="3"/>
                <w:szCs w:val="3"/>
                <w:color w:val="auto"/>
              </w:rPr>
            </w:pPr>
          </w:p>
        </w:tc>
        <w:tc>
          <w:tcPr>
            <w:tcW w:w="20" w:type="dxa"/>
            <w:vAlign w:val="bottom"/>
            <w:tcBorders>
              <w:top w:val="single" w:sz="8" w:color="0000FF"/>
              <w:bottom w:val="single" w:sz="8" w:color="0000FF"/>
            </w:tcBorders>
          </w:tcPr>
          <w:p>
            <w:pPr>
              <w:spacing w:after="0"/>
              <w:rPr>
                <w:sz w:val="3"/>
                <w:szCs w:val="3"/>
                <w:color w:val="auto"/>
              </w:rPr>
            </w:pPr>
          </w:p>
        </w:tc>
        <w:tc>
          <w:tcPr>
            <w:tcW w:w="100" w:type="dxa"/>
            <w:vAlign w:val="bottom"/>
            <w:tcBorders>
              <w:top w:val="single" w:sz="8" w:color="0000FF"/>
              <w:bottom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S-9</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7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Fifth Amended and Restated</w:t>
            </w:r>
          </w:p>
        </w:tc>
        <w:tc>
          <w:tcPr>
            <w:tcW w:w="0" w:type="dxa"/>
            <w:vAlign w:val="bottom"/>
          </w:tcPr>
          <w:p>
            <w:pPr>
              <w:spacing w:after="0"/>
              <w:rPr>
                <w:sz w:val="1"/>
                <w:szCs w:val="1"/>
                <w:color w:val="auto"/>
              </w:rPr>
            </w:pPr>
          </w:p>
        </w:tc>
      </w:tr>
      <w:tr>
        <w:trPr>
          <w:trHeight w:val="128"/>
        </w:trPr>
        <w:tc>
          <w:tcPr>
            <w:tcW w:w="12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720" w:type="dxa"/>
            <w:vAlign w:val="bottom"/>
            <w:gridSpan w:val="6"/>
            <w:vMerge w:val="restart"/>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Receivables Purchase Agreement</w:t>
            </w:r>
          </w:p>
        </w:tc>
        <w:tc>
          <w:tcPr>
            <w:tcW w:w="0" w:type="dxa"/>
            <w:vAlign w:val="bottom"/>
          </w:tcPr>
          <w:p>
            <w:pPr>
              <w:spacing w:after="0"/>
              <w:rPr>
                <w:sz w:val="1"/>
                <w:szCs w:val="1"/>
                <w:color w:val="auto"/>
              </w:rPr>
            </w:pPr>
          </w:p>
        </w:tc>
      </w:tr>
      <w:tr>
        <w:trPr>
          <w:trHeight w:val="108"/>
        </w:trPr>
        <w:tc>
          <w:tcPr>
            <w:tcW w:w="1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72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0020"/>
          </w:cols>
          <w:pgMar w:left="1440" w:top="270" w:right="439" w:bottom="1440" w:gutter="0" w:footer="0" w:header="0"/>
        </w:sectPr>
      </w:pPr>
    </w:p>
    <w:bookmarkStart w:id="212" w:name="page213"/>
    <w:bookmarkEnd w:id="21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HSBC BANK USA, NATIONAL ASSOCIATION, as 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Committed Purchaser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HSBC SECURITIES USA INC., as Purchaser Agent for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HSBC Bank USA, National Association</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3" w:lineRule="exact"/>
        <w:rPr>
          <w:sz w:val="20"/>
          <w:szCs w:val="20"/>
          <w:color w:val="auto"/>
        </w:rPr>
      </w:pPr>
    </w:p>
    <w:tbl>
      <w:tblPr>
        <w:tblLayout w:type="fixed"/>
        <w:tblInd w:w="4280" w:type="dxa"/>
        <w:tblCellMar>
          <w:top w:w="0" w:type="dxa"/>
          <w:left w:w="0" w:type="dxa"/>
          <w:bottom w:w="0" w:type="dxa"/>
          <w:right w:w="0" w:type="dxa"/>
        </w:tblCellMar>
      </w:tblPr>
      <w:tr>
        <w:trPr>
          <w:trHeight w:val="216"/>
        </w:trPr>
        <w:tc>
          <w:tcPr>
            <w:tcW w:w="1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S-10</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Fifth Amended and Restated</w:t>
            </w:r>
          </w:p>
        </w:tc>
        <w:tc>
          <w:tcPr>
            <w:tcW w:w="0" w:type="dxa"/>
            <w:vAlign w:val="bottom"/>
          </w:tcPr>
          <w:p>
            <w:pPr>
              <w:spacing w:after="0"/>
              <w:rPr>
                <w:sz w:val="1"/>
                <w:szCs w:val="1"/>
                <w:color w:val="auto"/>
              </w:rPr>
            </w:pPr>
          </w:p>
        </w:tc>
      </w:tr>
      <w:tr>
        <w:trPr>
          <w:trHeight w:val="128"/>
        </w:trPr>
        <w:tc>
          <w:tcPr>
            <w:tcW w:w="1840" w:type="dxa"/>
            <w:vAlign w:val="bottom"/>
            <w:vMerge w:val="continue"/>
          </w:tcPr>
          <w:p>
            <w:pPr>
              <w:spacing w:after="0"/>
              <w:rPr>
                <w:sz w:val="11"/>
                <w:szCs w:val="11"/>
                <w:color w:val="auto"/>
              </w:rPr>
            </w:pPr>
          </w:p>
        </w:tc>
        <w:tc>
          <w:tcPr>
            <w:tcW w:w="3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Receivables Purchase Agreement</w:t>
            </w:r>
          </w:p>
        </w:tc>
        <w:tc>
          <w:tcPr>
            <w:tcW w:w="0" w:type="dxa"/>
            <w:vAlign w:val="bottom"/>
          </w:tcPr>
          <w:p>
            <w:pPr>
              <w:spacing w:after="0"/>
              <w:rPr>
                <w:sz w:val="1"/>
                <w:szCs w:val="1"/>
                <w:color w:val="auto"/>
              </w:rPr>
            </w:pPr>
          </w:p>
        </w:tc>
      </w:tr>
      <w:tr>
        <w:trPr>
          <w:trHeight w:val="108"/>
        </w:trPr>
        <w:tc>
          <w:tcPr>
            <w:tcW w:w="1840" w:type="dxa"/>
            <w:vAlign w:val="bottom"/>
          </w:tcPr>
          <w:p>
            <w:pPr>
              <w:spacing w:after="0"/>
              <w:rPr>
                <w:sz w:val="9"/>
                <w:szCs w:val="9"/>
                <w:color w:val="auto"/>
              </w:rPr>
            </w:pPr>
          </w:p>
        </w:tc>
        <w:tc>
          <w:tcPr>
            <w:tcW w:w="3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0020"/>
          </w:cols>
          <w:pgMar w:left="1440" w:top="270" w:right="439" w:bottom="1440" w:gutter="0" w:footer="0" w:header="0"/>
        </w:sectPr>
      </w:pPr>
    </w:p>
    <w:bookmarkStart w:id="213" w:name="page214"/>
    <w:bookmarkEnd w:id="21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As used in this Agreement (including its Exhibits, Schedules and Annexes), the following terms shall have the following meanings (such meanings to be equally applicable to both the singular and plural forms of the terms defined). Unless otherwise indicated, all Section, Annex, Exhibit and Schedule references in this Exhibit are to Sections of and Annexes, Exhibits and Schedules to this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Dilution Ratio</w:t>
      </w:r>
      <w:r>
        <w:rPr>
          <w:rFonts w:ascii="Times New Roman" w:cs="Times New Roman" w:eastAsia="Times New Roman" w:hAnsi="Times New Roman"/>
          <w:sz w:val="18"/>
          <w:szCs w:val="18"/>
          <w:color w:val="auto"/>
        </w:rPr>
        <w:t>” means, at any time, the twelve-month rolling average of the Dilution Ratio.</w:t>
      </w:r>
    </w:p>
    <w:p>
      <w:pPr>
        <w:spacing w:after="0" w:line="225"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Net Receivables Pool Balance</w:t>
      </w:r>
      <w:r>
        <w:rPr>
          <w:rFonts w:ascii="Times New Roman" w:cs="Times New Roman" w:eastAsia="Times New Roman" w:hAnsi="Times New Roman"/>
          <w:sz w:val="18"/>
          <w:szCs w:val="18"/>
          <w:color w:val="auto"/>
        </w:rPr>
        <w:t xml:space="preserve">” means, at any time: (a) the Net Receivables Pool Balance,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sum of (i) the aggregate Outstanding Balance of all Affiliate Receivables then in the Receivables Pool, (ii) the Specifically Reserved Amount and (iii) the aggregate amount for each Obligor of the lesser of (x) the Contra Amount, if any, with respect to such Obligor at such time and (y) the aggregate Outstanding Balance of all Pool Receivables, the Obligor of which is such Obligor.</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Adverse Claim</w:t>
      </w:r>
      <w:r>
        <w:rPr>
          <w:rFonts w:ascii="Times New Roman" w:cs="Times New Roman" w:eastAsia="Times New Roman" w:hAnsi="Times New Roman"/>
          <w:sz w:val="18"/>
          <w:szCs w:val="18"/>
          <w:color w:val="auto"/>
        </w:rPr>
        <w:t xml:space="preserve">” means a lien, security interest or other charge or encumbrance, or any other type of preferential arrangement; </w:t>
      </w:r>
      <w:r>
        <w:rPr>
          <w:rFonts w:ascii="Times New Roman" w:cs="Times New Roman" w:eastAsia="Times New Roman" w:hAnsi="Times New Roman"/>
          <w:sz w:val="18"/>
          <w:szCs w:val="18"/>
          <w:u w:val="single" w:color="auto"/>
          <w:color w:val="auto"/>
        </w:rPr>
        <w:t>it being understood</w:t>
      </w:r>
      <w:r>
        <w:rPr>
          <w:rFonts w:ascii="Times New Roman" w:cs="Times New Roman" w:eastAsia="Times New Roman" w:hAnsi="Times New Roman"/>
          <w:sz w:val="18"/>
          <w:szCs w:val="18"/>
          <w:color w:val="auto"/>
        </w:rPr>
        <w:t xml:space="preserve"> that any thereof in favor of the Administrator (for the benefit of the Purchasers ) shall not constitute an Adverse Claim.</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Person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as to any Person, any Person that, directly or indirectly, is in control of, is controlled by or is under common control with such Person, except that, in the case of each Conduit Purchaser, Affiliate shall mean the holder of its capital stock. For purposes of this definition, control of a Person shall mean the power, direct or indirect: (x) to vote 25% or more of the securities having ordinary voting power for the election of directors of such Person, or (y) to direct or cause the direction of the management and policies of such Person, in either case whether by ownership of securities, contract, proxy or otherwise.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 Receivable</w:t>
      </w:r>
      <w:r>
        <w:rPr>
          <w:rFonts w:ascii="Times New Roman" w:cs="Times New Roman" w:eastAsia="Times New Roman" w:hAnsi="Times New Roman"/>
          <w:sz w:val="18"/>
          <w:szCs w:val="18"/>
          <w:color w:val="auto"/>
        </w:rPr>
        <w:t>” means any Receivable, the Obligor of which is an Affiliate of WESCO or any Originator.</w:t>
      </w:r>
    </w:p>
    <w:p>
      <w:pPr>
        <w:spacing w:after="0" w:line="225"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Discount</w:t>
      </w:r>
      <w:r>
        <w:rPr>
          <w:rFonts w:ascii="Times New Roman" w:cs="Times New Roman" w:eastAsia="Times New Roman" w:hAnsi="Times New Roman"/>
          <w:sz w:val="18"/>
          <w:szCs w:val="18"/>
          <w:color w:val="auto"/>
        </w:rPr>
        <w:t>” at any time, means the sum of the aggregate for each Purchaser of the accrued and unpaid Discount with respect to each such Purchaser’s Investment at such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Investment</w:t>
      </w:r>
      <w:r>
        <w:rPr>
          <w:rFonts w:ascii="Times New Roman" w:cs="Times New Roman" w:eastAsia="Times New Roman" w:hAnsi="Times New Roman"/>
          <w:sz w:val="18"/>
          <w:szCs w:val="18"/>
          <w:color w:val="auto"/>
        </w:rPr>
        <w:t>” means, at any time, the aggregate of the Investments of each Purchaser at such time.</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I-1</w:t>
      </w:r>
    </w:p>
    <w:p>
      <w:pPr>
        <w:sectPr>
          <w:pgSz w:w="11900" w:h="16838" w:orient="portrait"/>
          <w:cols w:equalWidth="0" w:num="1">
            <w:col w:w="11000"/>
          </w:cols>
          <w:pgMar w:left="440" w:top="270" w:right="459" w:bottom="1440" w:gutter="0" w:footer="0" w:header="0"/>
        </w:sectPr>
      </w:pPr>
    </w:p>
    <w:bookmarkStart w:id="214" w:name="page215"/>
    <w:bookmarkEnd w:id="21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Date</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color w:val="FF0000"/>
          <w:strike w:val="1"/>
        </w:rPr>
        <w:t>August 2</w:t>
      </w:r>
      <w:r>
        <w:rPr>
          <w:rFonts w:ascii="Times New Roman" w:cs="Times New Roman" w:eastAsia="Times New Roman" w:hAnsi="Times New Roman"/>
          <w:sz w:val="18"/>
          <w:szCs w:val="18"/>
          <w:u w:val="single" w:color="auto"/>
          <w:color w:val="0000FF"/>
        </w:rPr>
        <w:t>March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2022</w:t>
      </w:r>
      <w:r>
        <w:rPr>
          <w:rFonts w:ascii="Times New Roman" w:cs="Times New Roman" w:eastAsia="Times New Roman" w:hAnsi="Times New Roman"/>
          <w:sz w:val="18"/>
          <w:szCs w:val="18"/>
          <w:u w:val="single" w:color="auto"/>
          <w:color w:val="0000FF"/>
        </w:rPr>
        <w:t>2024</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26035</wp:posOffset>
            </wp:positionV>
            <wp:extent cx="3860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86080" cy="8255"/>
                    </a:xfrm>
                    <a:prstGeom prst="rect">
                      <a:avLst/>
                    </a:prstGeom>
                    <a:noFill/>
                  </pic:spPr>
                </pic:pic>
              </a:graphicData>
            </a:graphic>
          </wp:anchor>
        </w:drawing>
        <w:drawing>
          <wp:anchor simplePos="0" relativeHeight="251657728" behindDoc="1" locked="0" layoutInCell="0" allowOverlap="1">
            <wp:simplePos x="0" y="0"/>
            <wp:positionH relativeFrom="column">
              <wp:posOffset>2620645</wp:posOffset>
            </wp:positionH>
            <wp:positionV relativeFrom="paragraph">
              <wp:posOffset>26035</wp:posOffset>
            </wp:positionV>
            <wp:extent cx="23114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31140" cy="8255"/>
                    </a:xfrm>
                    <a:prstGeom prst="rect">
                      <a:avLst/>
                    </a:prstGeom>
                    <a:noFill/>
                  </pic:spPr>
                </pic:pic>
              </a:graphicData>
            </a:graphic>
          </wp:anchor>
        </w:drawing>
      </w:r>
    </w:p>
    <w:p>
      <w:pPr>
        <w:spacing w:after="0" w:line="205"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color w:val="FF0000"/>
          <w:strike w:val="1"/>
        </w:rPr>
        <w:t>United States</w:t>
      </w:r>
      <w:r>
        <w:rPr>
          <w:rFonts w:ascii="Times New Roman" w:cs="Times New Roman" w:eastAsia="Times New Roman" w:hAnsi="Times New Roman"/>
          <w:sz w:val="18"/>
          <w:szCs w:val="18"/>
          <w:u w:val="single" w:color="auto"/>
          <w:color w:val="0000FF"/>
        </w:rPr>
        <w:t>U.S.</w:t>
      </w:r>
      <w:r>
        <w:rPr>
          <w:rFonts w:ascii="Times New Roman" w:cs="Times New Roman" w:eastAsia="Times New Roman" w:hAnsi="Times New Roman"/>
          <w:sz w:val="18"/>
          <w:szCs w:val="18"/>
          <w:color w:val="auto"/>
        </w:rPr>
        <w:t xml:space="preserve"> Foreign Corrupt Practices Act of 1977, as amended</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color w:val="FF0000"/>
          <w:strike w:val="1"/>
        </w:rPr>
        <w:t>UK</w:t>
      </w:r>
      <w:r>
        <w:rPr>
          <w:rFonts w:ascii="Times New Roman" w:cs="Times New Roman" w:eastAsia="Times New Roman" w:hAnsi="Times New Roman"/>
          <w:sz w:val="18"/>
          <w:szCs w:val="18"/>
          <w:u w:val="single" w:color="auto"/>
          <w:color w:val="0000FF"/>
        </w:rPr>
        <w:t>U.K.</w:t>
      </w:r>
      <w:r>
        <w:rPr>
          <w:rFonts w:ascii="Times New Roman" w:cs="Times New Roman" w:eastAsia="Times New Roman" w:hAnsi="Times New Roman"/>
          <w:sz w:val="18"/>
          <w:szCs w:val="18"/>
          <w:color w:val="auto"/>
        </w:rPr>
        <w:t xml:space="preserve"> Bribery Act 2010, </w:t>
      </w:r>
      <w:r>
        <w:rPr>
          <w:rFonts w:ascii="Times New Roman" w:cs="Times New Roman" w:eastAsia="Times New Roman" w:hAnsi="Times New Roman"/>
          <w:sz w:val="18"/>
          <w:szCs w:val="18"/>
          <w:u w:val="single" w:color="auto"/>
          <w:color w:val="0000FF"/>
        </w:rPr>
        <w:t>as amended;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(c)</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any other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similar</w:t>
      </w:r>
      <w:r>
        <w:rPr>
          <w:rFonts w:ascii="Times New Roman" w:cs="Times New Roman" w:eastAsia="Times New Roman" w:hAnsi="Times New Roman"/>
          <w:sz w:val="18"/>
          <w:szCs w:val="18"/>
          <w:u w:val="single" w:color="auto"/>
          <w:color w:val="0000FF"/>
        </w:rPr>
        <w:t>applicable Law relating to anti—bribery 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anti-corruption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Laws or regulations administered or enforced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any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jurisdiction </w:t>
      </w:r>
      <w:r>
        <w:rPr>
          <w:rFonts w:ascii="Times New Roman" w:cs="Times New Roman" w:eastAsia="Times New Roman" w:hAnsi="Times New Roman"/>
          <w:sz w:val="18"/>
          <w:szCs w:val="18"/>
          <w:color w:val="FF0000"/>
          <w:strike w:val="1"/>
        </w:rPr>
        <w:t>in</w:t>
      </w:r>
      <w:r>
        <w:rPr>
          <w:rFonts w:ascii="Times New Roman" w:cs="Times New Roman" w:eastAsia="Times New Roman" w:hAnsi="Times New Roman"/>
          <w:sz w:val="18"/>
          <w:szCs w:val="18"/>
          <w:u w:val="single" w:color="auto"/>
          <w:color w:val="0000FF"/>
        </w:rPr>
        <w:t>to</w:t>
      </w:r>
      <w:r>
        <w:rPr>
          <w:rFonts w:ascii="Times New Roman" w:cs="Times New Roman" w:eastAsia="Times New Roman" w:hAnsi="Times New Roman"/>
          <w:sz w:val="18"/>
          <w:szCs w:val="18"/>
          <w:color w:val="000000"/>
        </w:rPr>
        <w:t xml:space="preserve"> which WESCO or any of </w:t>
      </w:r>
      <w:r>
        <w:rPr>
          <w:rFonts w:ascii="Times New Roman" w:cs="Times New Roman" w:eastAsia="Times New Roman" w:hAnsi="Times New Roman"/>
          <w:sz w:val="18"/>
          <w:szCs w:val="18"/>
          <w:color w:val="FF0000"/>
          <w:strike w:val="1"/>
        </w:rPr>
        <w:t>its Subsidiaries conduct business</w:t>
      </w:r>
      <w:r>
        <w:rPr>
          <w:rFonts w:ascii="Times New Roman" w:cs="Times New Roman" w:eastAsia="Times New Roman" w:hAnsi="Times New Roman"/>
          <w:sz w:val="18"/>
          <w:szCs w:val="18"/>
          <w:u w:val="single" w:color="auto"/>
          <w:color w:val="0000FF"/>
        </w:rPr>
        <w:t>the Covered Entities is subject</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-278765</wp:posOffset>
            </wp:positionV>
            <wp:extent cx="15430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2680335</wp:posOffset>
            </wp:positionH>
            <wp:positionV relativeFrom="paragraph">
              <wp:posOffset>-278765</wp:posOffset>
            </wp:positionV>
            <wp:extent cx="20574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5286375</wp:posOffset>
            </wp:positionH>
            <wp:positionV relativeFrom="paragraph">
              <wp:posOffset>-278765</wp:posOffset>
            </wp:positionV>
            <wp:extent cx="19685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5843905</wp:posOffset>
            </wp:positionH>
            <wp:positionV relativeFrom="paragraph">
              <wp:posOffset>-278765</wp:posOffset>
            </wp:positionV>
            <wp:extent cx="22288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wp:posOffset>
            </wp:positionV>
            <wp:extent cx="368617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686175" cy="8255"/>
                    </a:xfrm>
                    <a:prstGeom prst="rect">
                      <a:avLst/>
                    </a:prstGeom>
                    <a:noFill/>
                  </pic:spPr>
                </pic:pic>
              </a:graphicData>
            </a:graphic>
          </wp:anchor>
        </w:drawing>
        <w:drawing>
          <wp:anchor simplePos="0" relativeHeight="251657728" behindDoc="1" locked="0" layoutInCell="0" allowOverlap="1">
            <wp:simplePos x="0" y="0"/>
            <wp:positionH relativeFrom="column">
              <wp:posOffset>631825</wp:posOffset>
            </wp:positionH>
            <wp:positionV relativeFrom="paragraph">
              <wp:posOffset>-4445</wp:posOffset>
            </wp:positionV>
            <wp:extent cx="939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3434715</wp:posOffset>
            </wp:positionH>
            <wp:positionV relativeFrom="paragraph">
              <wp:posOffset>-4445</wp:posOffset>
            </wp:positionV>
            <wp:extent cx="138874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156"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Anti-Terrorism Law</w:t>
      </w:r>
      <w:r>
        <w:rPr>
          <w:rFonts w:ascii="Times New Roman" w:cs="Times New Roman" w:eastAsia="Times New Roman" w:hAnsi="Times New Roman"/>
          <w:sz w:val="18"/>
          <w:szCs w:val="18"/>
          <w:color w:val="auto"/>
        </w:rPr>
        <w:t xml:space="preserve">” means any Law in force or hereinafter enacted related to terrorism, money laundering, or economic sanctions, including the Bank Secrecy Act, 31 U.S.C. § 5311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USA PATRIOT Act, the International Emergency Economic Powers Act, 50 U.S.C. 1701,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Trading with the Enemy Act, 50 U.S.C. App. 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18 U.S.C. § 2332d, and 18 U.S.C. § 2339B.</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means, with respect to any Person, all provisions of Law applicable to such Person or any of its property.</w:t>
      </w:r>
    </w:p>
    <w:p>
      <w:pPr>
        <w:spacing w:after="0" w:line="225" w:lineRule="exact"/>
        <w:rPr>
          <w:sz w:val="20"/>
          <w:szCs w:val="20"/>
          <w:color w:val="auto"/>
        </w:rPr>
      </w:pPr>
    </w:p>
    <w:p>
      <w:pPr>
        <w:ind w:right="10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AR System</w:t>
      </w:r>
      <w:r>
        <w:rPr>
          <w:rFonts w:ascii="Times New Roman" w:cs="Times New Roman" w:eastAsia="Times New Roman" w:hAnsi="Times New Roman"/>
          <w:sz w:val="17"/>
          <w:szCs w:val="17"/>
          <w:color w:val="auto"/>
        </w:rPr>
        <w:t>” means (i) the Oracle, AS 400 Mainframe, SxE or Eclipse accounts receivable systems which are used by the on-system originators, (ii) the accounts receivables systems which are used by the off-system originators, or (iii) any system or systems which replace any of the foregoing.</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Assumption Agreement</w:t>
      </w:r>
      <w:r>
        <w:rPr>
          <w:rFonts w:ascii="Times New Roman" w:cs="Times New Roman" w:eastAsia="Times New Roman" w:hAnsi="Times New Roman"/>
          <w:sz w:val="18"/>
          <w:szCs w:val="18"/>
          <w:color w:val="auto"/>
        </w:rPr>
        <w:t>” means an agreement substantially in the form set forth in Annex D to this Agreement.</w:t>
      </w:r>
    </w:p>
    <w:p>
      <w:pPr>
        <w:spacing w:after="0" w:line="225"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Attorney Costs</w:t>
      </w:r>
      <w:r>
        <w:rPr>
          <w:rFonts w:ascii="Times New Roman" w:cs="Times New Roman" w:eastAsia="Times New Roman" w:hAnsi="Times New Roman"/>
          <w:sz w:val="18"/>
          <w:szCs w:val="18"/>
          <w:color w:val="auto"/>
        </w:rPr>
        <w:t>” means and includes all reasonable fees and disbursements of any law firm or other external counsel, the reasonable allocated cost of internal legal services and all reasonable disbursements of internal counsel.</w:t>
      </w:r>
    </w:p>
    <w:p>
      <w:pPr>
        <w:spacing w:after="0" w:line="162"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Liquidity</w:t>
      </w:r>
      <w:r>
        <w:rPr>
          <w:rFonts w:ascii="Times New Roman" w:cs="Times New Roman" w:eastAsia="Times New Roman" w:hAnsi="Times New Roman"/>
          <w:sz w:val="18"/>
          <w:szCs w:val="18"/>
          <w:color w:val="auto"/>
        </w:rPr>
        <w:t>” means, on any date of determination, the sum of (i) the Maximum Incremental Purchase, (ii) the amount of borrowing availability under the Credit Agreement and (iii) cash balances and liquid investments held by WESCO and its Affiliates.</w:t>
      </w:r>
    </w:p>
    <w:p>
      <w:pPr>
        <w:spacing w:after="0" w:line="16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xml:space="preserve">” means the exercise of any </w:t>
      </w:r>
      <w:r>
        <w:rPr>
          <w:rFonts w:ascii="Times New Roman" w:cs="Times New Roman" w:eastAsia="Times New Roman" w:hAnsi="Times New Roman"/>
          <w:sz w:val="18"/>
          <w:szCs w:val="18"/>
          <w:color w:val="FF0000"/>
          <w:strike w:val="1"/>
        </w:rPr>
        <w:t>Write-Down</w:t>
      </w:r>
      <w:r>
        <w:rPr>
          <w:rFonts w:ascii="Times New Roman" w:cs="Times New Roman" w:eastAsia="Times New Roman" w:hAnsi="Times New Roman"/>
          <w:sz w:val="18"/>
          <w:szCs w:val="18"/>
          <w:u w:val="single" w:color="auto"/>
          <w:color w:val="0000FF"/>
        </w:rPr>
        <w:t>Write-down</w:t>
      </w:r>
      <w:r>
        <w:rPr>
          <w:rFonts w:ascii="Times New Roman" w:cs="Times New Roman" w:eastAsia="Times New Roman" w:hAnsi="Times New Roman"/>
          <w:sz w:val="18"/>
          <w:szCs w:val="18"/>
          <w:color w:val="auto"/>
        </w:rPr>
        <w:t xml:space="preserve"> and Conversion Powers by the applicable Resolution Authority in respect of any liability of an Affected Financial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-151130</wp:posOffset>
            </wp:positionV>
            <wp:extent cx="54864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4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w:t>
      </w:r>
    </w:p>
    <w:p>
      <w:pPr>
        <w:sectPr>
          <w:pgSz w:w="11900" w:h="16838" w:orient="portrait"/>
          <w:cols w:equalWidth="0" w:num="1">
            <w:col w:w="11000"/>
          </w:cols>
          <w:pgMar w:left="440" w:top="270" w:right="459" w:bottom="1440" w:gutter="0" w:footer="0" w:header="0"/>
        </w:sectPr>
      </w:pPr>
    </w:p>
    <w:bookmarkStart w:id="215" w:name="page216"/>
    <w:bookmarkEnd w:id="21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means the United States Bankruptcy Reform Act of 1978 (11 U.S.C. § 101, et seq.), as amended from time to time.</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means, any Purchaser, for any day (a) a fluctuating interest rate per annum as shall be in effect from time to time, which rate shall be at all times equal to the higher of:</w:t>
      </w:r>
    </w:p>
    <w:p>
      <w:pPr>
        <w:spacing w:after="0" w:line="54" w:lineRule="exact"/>
        <w:rPr>
          <w:sz w:val="20"/>
          <w:szCs w:val="20"/>
          <w:color w:val="auto"/>
        </w:rPr>
      </w:pPr>
    </w:p>
    <w:p>
      <w:pPr>
        <w:ind w:left="440" w:right="60" w:firstLine="419"/>
        <w:spacing w:after="0" w:line="266" w:lineRule="auto"/>
        <w:tabs>
          <w:tab w:leader="none" w:pos="1078"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interest in effect for such day as publicly announced from time to time by such Purchaser’s Purchaser Agent as its “prime rate”, “base rate” or similarly designate rate and which is used as a general reference point for pricing some loans, which may be priced at, above or below such announced rate,</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0.50% per annum above the latest Overnight Bank Funding Rate, and</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Daily Simple SOFR,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1.00%, so long as Daily Simple SOFR is offered, ascertainable and not unlawful; or</w:t>
      </w:r>
    </w:p>
    <w:p>
      <w:pPr>
        <w:spacing w:after="0" w:line="117" w:lineRule="exact"/>
        <w:rPr>
          <w:rFonts w:ascii="Times New Roman" w:cs="Times New Roman" w:eastAsia="Times New Roman" w:hAnsi="Times New Roman"/>
          <w:sz w:val="18"/>
          <w:szCs w:val="18"/>
          <w:color w:val="auto"/>
        </w:rPr>
      </w:pPr>
    </w:p>
    <w:p>
      <w:pPr>
        <w:ind w:right="140" w:firstLine="436"/>
        <w:spacing w:after="0" w:line="282" w:lineRule="auto"/>
        <w:tabs>
          <w:tab w:leader="none" w:pos="69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rate set forth as the “Base Rate” for such Purchaser in its Purchaser Group Fee Letter, or any other document pursuant to which is became a party hereto.</w:t>
      </w:r>
    </w:p>
    <w:p>
      <w:pPr>
        <w:spacing w:after="0" w:line="162"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Option</w:t>
      </w:r>
      <w:r>
        <w:rPr>
          <w:rFonts w:ascii="Times New Roman" w:cs="Times New Roman" w:eastAsia="Times New Roman" w:hAnsi="Times New Roman"/>
          <w:sz w:val="18"/>
          <w:szCs w:val="18"/>
          <w:color w:val="auto"/>
        </w:rPr>
        <w:t xml:space="preserve">” means the option of the Seller to have Investments accrue </w:t>
      </w:r>
      <w:r>
        <w:rPr>
          <w:rFonts w:ascii="Times New Roman" w:cs="Times New Roman" w:eastAsia="Times New Roman" w:hAnsi="Times New Roman"/>
          <w:sz w:val="18"/>
          <w:szCs w:val="18"/>
          <w:color w:val="FF0000"/>
          <w:strike w:val="1"/>
        </w:rPr>
        <w:t>Yield</w:t>
      </w:r>
      <w:r>
        <w:rPr>
          <w:rFonts w:ascii="Times New Roman" w:cs="Times New Roman" w:eastAsia="Times New Roman" w:hAnsi="Times New Roman"/>
          <w:sz w:val="18"/>
          <w:szCs w:val="18"/>
          <w:u w:val="single" w:color="auto"/>
          <w:color w:val="0000FF"/>
        </w:rPr>
        <w:t>Discount</w:t>
      </w:r>
      <w:r>
        <w:rPr>
          <w:rFonts w:ascii="Times New Roman" w:cs="Times New Roman" w:eastAsia="Times New Roman" w:hAnsi="Times New Roman"/>
          <w:sz w:val="18"/>
          <w:szCs w:val="18"/>
          <w:color w:val="auto"/>
        </w:rPr>
        <w:t xml:space="preserve"> at the rate and under the terms specified in </w:t>
      </w:r>
      <w:r>
        <w:rPr>
          <w:rFonts w:ascii="Times New Roman" w:cs="Times New Roman" w:eastAsia="Times New Roman" w:hAnsi="Times New Roman"/>
          <w:sz w:val="18"/>
          <w:szCs w:val="18"/>
          <w:u w:val="single" w:color="auto"/>
          <w:color w:val="auto"/>
        </w:rPr>
        <w:t>Section 1.12(a)(i)(B)(3)</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4129405</wp:posOffset>
            </wp:positionH>
            <wp:positionV relativeFrom="paragraph">
              <wp:posOffset>-151130</wp:posOffset>
            </wp:positionV>
            <wp:extent cx="4114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14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means, for the Seller, each of the following: (a) each individual, if any, who, directly or indirectly, owns 25% or more of the Seller’s capital stock; and (b) a single individual with significant responsibility to control, manage, or direct the Seller.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ind w:right="2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Benefit Plan</w:t>
      </w:r>
      <w:r>
        <w:rPr>
          <w:rFonts w:ascii="Times New Roman" w:cs="Times New Roman" w:eastAsia="Times New Roman" w:hAnsi="Times New Roman"/>
          <w:sz w:val="17"/>
          <w:szCs w:val="17"/>
          <w:color w:val="auto"/>
        </w:rPr>
        <w:t>” means any employee benefit pension plan as defined in Section 3(2) of ERISA in respect of which the Seller, any Originator, WESCO or any ERISA Affiliate is, or at any time during the immediately preceding six years was, an “employer” as defined in Section 3(5) of ERISA.</w:t>
      </w:r>
    </w:p>
    <w:p>
      <w:pPr>
        <w:spacing w:after="0" w:line="140"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u w:val="single" w:color="auto"/>
          <w:color w:val="0000FF"/>
        </w:rPr>
        <w:t>“Blocked Property” means any property: (a) owned, directly or indirectly, by a Sanctioned Person; (b) due to or from a Sanctioned Person; (c) in which a Sanctioned Person otherwise holds any interest; (d) located in a Sanctioned Jurisdiction; or (e) that otherwise would cause any actual violation by any Purchaser Party of any applicable International Trade Law if the Purchaser Parties were to obtain an encumbrance on, lien on, pledge of, or security interest in such property, or provide services in consideration of such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-414020</wp:posOffset>
            </wp:positionV>
            <wp:extent cx="660082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6008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-276860</wp:posOffset>
            </wp:positionV>
            <wp:extent cx="690054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9005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70369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397764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977640" cy="8255"/>
                    </a:xfrm>
                    <a:prstGeom prst="rect">
                      <a:avLst/>
                    </a:prstGeom>
                    <a:noFill/>
                  </pic:spPr>
                </pic:pic>
              </a:graphicData>
            </a:graphic>
          </wp:anchor>
        </w:drawing>
      </w:r>
    </w:p>
    <w:p>
      <w:pPr>
        <w:spacing w:after="0" w:line="16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a Saturday or Sunday) on which banks are not authorized or required to close in New York City, New York or Pittsburgh, Pennsylvania;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any direct or indirect calculation or determination of, or when used in connection with SOFR Rate Investment or Daily Resetting SOFR Investment, the term “Business Day” means any such day Term SOFR or SOFR is published by the Federal Reserve Bank of New York (or a successor administrator of the secured overnight financing rate) on the website of the Federal Reserve Bank of New York, or any successor website thereto.</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I-3</w:t>
      </w:r>
    </w:p>
    <w:p>
      <w:pPr>
        <w:sectPr>
          <w:pgSz w:w="11900" w:h="16838" w:orient="portrait"/>
          <w:cols w:equalWidth="0" w:num="1">
            <w:col w:w="10940"/>
          </w:cols>
          <w:pgMar w:left="440" w:top="270" w:right="519" w:bottom="1440" w:gutter="0" w:footer="0" w:header="0"/>
        </w:sectPr>
      </w:pPr>
    </w:p>
    <w:bookmarkStart w:id="216" w:name="page217"/>
    <w:bookmarkEnd w:id="216"/>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Certification of Beneficial Owner(s)</w:t>
      </w:r>
      <w:r>
        <w:rPr>
          <w:rFonts w:ascii="Times New Roman" w:cs="Times New Roman" w:eastAsia="Times New Roman" w:hAnsi="Times New Roman"/>
          <w:sz w:val="18"/>
          <w:szCs w:val="18"/>
          <w:color w:val="auto"/>
        </w:rPr>
        <w:t>” means, for the Seller, a certification regarding beneficial ownership required by the Beneficial Ownership Regulation, which certification shall be substantially similar in form and substance to the form of Certification Regarding Beneficial Owners of Legal Entity Customers published jointly, in May 2018, by the Loan Syndications and Trading Association and Securities Industry and Financial Markets Association.</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(i) Holdings ceases to own, directly or indirectly, 100% of the capital stock of WESCO or (ii) WESCO ceases to own, directly or indirectly (including through one or more of its Subsidiaries), (a) 100% of the capital stock of the Seller free and clear of all Adverse Claims or (b) a majority of the capital stock of any Originator, in the case of each of (i) and (ii)(b) above, free and clear of all Adverse Claims other than the pledges or grants of security interest by WESCO or one or more of its Subsidiaries to (x) Barclays Bank PLC or any other Person that assumes its obligations under the Intercreditor Agreement, as agent for itself and various lenders pursuant to one or more pledge agreements and security agreements as required under the Credit Agreement as such pledge agreements or security agreements may be amended, restated, supplemented or otherwise modified from time to time and (y) such other lenders to WESCO and its Subsidiaries so long as such lenders enter into an intercreditor agreement in form and substance reasonably satisfactory to the to the Administrator (it being agreed that the Intercreditor Agreement is a form reasonably satisfactory to the Administrator).</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CIBC</w:t>
      </w:r>
      <w:r>
        <w:rPr>
          <w:rFonts w:ascii="Times New Roman" w:cs="Times New Roman" w:eastAsia="Times New Roman" w:hAnsi="Times New Roman"/>
          <w:sz w:val="18"/>
          <w:szCs w:val="18"/>
          <w:color w:val="auto"/>
        </w:rPr>
        <w:t>” means Canadian Imperial Bank of Commerce.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June 22, 2020.</w:t>
      </w:r>
    </w:p>
    <w:p>
      <w:pPr>
        <w:spacing w:after="0" w:line="225"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Collections</w:t>
      </w:r>
      <w:r>
        <w:rPr>
          <w:rFonts w:ascii="Times New Roman" w:cs="Times New Roman" w:eastAsia="Times New Roman" w:hAnsi="Times New Roman"/>
          <w:sz w:val="18"/>
          <w:szCs w:val="18"/>
          <w:color w:val="auto"/>
        </w:rPr>
        <w:t xml:space="preserve">” means, with respect to any Pool Receivable: (a) all funds that are received by any Originator, WESCO, the Seller or the Servicer in payment of any amounts owed in respect of such Receivable (including purchase price, finance charges, interest and all other charges), or applied to amounts owed in respect of such Receivable (including insurance payments and net proceeds of the sale or other disposition of repossessed goods or other collateral or property of the related Obligor or any other Person directly or indirectly liable for the payment of such Pool Receivable and available to be applied thereon), (b) all amounts deemed to have been received pursuant to </w:t>
      </w:r>
      <w:r>
        <w:rPr>
          <w:rFonts w:ascii="Times New Roman" w:cs="Times New Roman" w:eastAsia="Times New Roman" w:hAnsi="Times New Roman"/>
          <w:sz w:val="18"/>
          <w:szCs w:val="18"/>
          <w:u w:val="single" w:color="auto"/>
          <w:color w:val="auto"/>
        </w:rPr>
        <w:t>Section 1.4(e)</w:t>
      </w:r>
      <w:r>
        <w:rPr>
          <w:rFonts w:ascii="Times New Roman" w:cs="Times New Roman" w:eastAsia="Times New Roman" w:hAnsi="Times New Roman"/>
          <w:sz w:val="18"/>
          <w:szCs w:val="18"/>
          <w:color w:val="auto"/>
        </w:rPr>
        <w:t xml:space="preserve"> of this Agreement and (c) all other proceeds of such Pool Receivable.</w:t>
      </w:r>
    </w:p>
    <w:p>
      <w:pPr>
        <w:spacing w:after="0" w:line="18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means, with respect to each Committed Purchaser, the maximum amount which such Purchaser is obligated to pay hereunder on account of any Purchase, as set forth below its name on </w:t>
      </w:r>
      <w:r>
        <w:rPr>
          <w:rFonts w:ascii="Times New Roman" w:cs="Times New Roman" w:eastAsia="Times New Roman" w:hAnsi="Times New Roman"/>
          <w:sz w:val="18"/>
          <w:szCs w:val="18"/>
          <w:u w:val="single" w:color="auto"/>
          <w:color w:val="auto"/>
        </w:rPr>
        <w:t>Schedule VI</w:t>
      </w:r>
      <w:r>
        <w:rPr>
          <w:rFonts w:ascii="Times New Roman" w:cs="Times New Roman" w:eastAsia="Times New Roman" w:hAnsi="Times New Roman"/>
          <w:sz w:val="18"/>
          <w:szCs w:val="18"/>
          <w:color w:val="auto"/>
        </w:rPr>
        <w:t xml:space="preserve"> hereto to this Agreement or in the Assumption Agreement or any similar document pursuant to which it became a Purchaser, as such amount may be modified in connection with any subsequent assignment pursuant to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color w:val="auto"/>
        </w:rPr>
        <w:t xml:space="preserve"> or in connection with a change in the Purchase Limit pursuant to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Increase Effective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Letter</w:t>
      </w:r>
      <w:r>
        <w:rPr>
          <w:rFonts w:ascii="Times New Roman" w:cs="Times New Roman" w:eastAsia="Times New Roman" w:hAnsi="Times New Roman"/>
          <w:sz w:val="18"/>
          <w:szCs w:val="18"/>
          <w:color w:val="auto"/>
        </w:rPr>
        <w:t>” means that certain Securitization Facility Amendment Commitment Letter, dated as of May 18, 2020, among WESCO, PNC, Wells, Fifth Third, Scotia, TD and CIBC, as amended or supplemented from time to time.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I-4</w:t>
      </w:r>
    </w:p>
    <w:p>
      <w:pPr>
        <w:sectPr>
          <w:pgSz w:w="11900" w:h="16838" w:orient="portrait"/>
          <w:cols w:equalWidth="0" w:num="1">
            <w:col w:w="10960"/>
          </w:cols>
          <w:pgMar w:left="440" w:top="270" w:right="499" w:bottom="1440" w:gutter="0" w:footer="0" w:header="0"/>
        </w:sectPr>
      </w:pPr>
    </w:p>
    <w:bookmarkStart w:id="217" w:name="page218"/>
    <w:bookmarkEnd w:id="217"/>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Commitment Percentage</w:t>
      </w:r>
      <w:r>
        <w:rPr>
          <w:rFonts w:ascii="Times New Roman" w:cs="Times New Roman" w:eastAsia="Times New Roman" w:hAnsi="Times New Roman"/>
          <w:sz w:val="18"/>
          <w:szCs w:val="18"/>
          <w:color w:val="auto"/>
        </w:rPr>
        <w:t>” means, at any time, for each Committed Purchaser in a Purchaser Group, such Committed Purchaser’s Commitment divided by the total of all Commitments of all Committed Purchasers in such Purchaser Group.</w:t>
      </w:r>
    </w:p>
    <w:p>
      <w:pPr>
        <w:spacing w:after="0" w:line="162"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Committed Purchaser</w:t>
      </w:r>
      <w:r>
        <w:rPr>
          <w:rFonts w:ascii="Times New Roman" w:cs="Times New Roman" w:eastAsia="Times New Roman" w:hAnsi="Times New Roman"/>
          <w:sz w:val="18"/>
          <w:szCs w:val="18"/>
          <w:color w:val="auto"/>
        </w:rPr>
        <w:t>” means each Person listed as such on the signature pages of this Agreement or in any Assumption Agreement or Transfer Supplement.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Note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of the Sale Agreement.</w:t>
      </w:r>
    </w:p>
    <w:p>
      <w:pPr>
        <w:spacing w:after="0" w:line="225"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Concentration Percentage</w:t>
      </w:r>
      <w:r>
        <w:rPr>
          <w:rFonts w:ascii="Times New Roman" w:cs="Times New Roman" w:eastAsia="Times New Roman" w:hAnsi="Times New Roman"/>
          <w:sz w:val="18"/>
          <w:szCs w:val="18"/>
          <w:color w:val="auto"/>
        </w:rPr>
        <w:t xml:space="preserve">” means Normal Concentration Percentage;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Administrator may, if each of the Purchasers has so consented, approve higher Concentration Percentages for selected Obligors (which approved percentage shall become the “Concentration Percentage” applicable to such Obligor).</w:t>
      </w:r>
    </w:p>
    <w:p>
      <w:pPr>
        <w:spacing w:after="0" w:line="17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Concentration Reserve</w:t>
      </w:r>
      <w:r>
        <w:rPr>
          <w:rFonts w:ascii="Times New Roman" w:cs="Times New Roman" w:eastAsia="Times New Roman" w:hAnsi="Times New Roman"/>
          <w:sz w:val="18"/>
          <w:szCs w:val="18"/>
          <w:color w:val="auto"/>
        </w:rPr>
        <w:t xml:space="preserve">” means, at any time of determination, an amount equal to: (a) the Aggregate Investment on such date,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(b)(i) the Concentration Reserve Percentage at such time,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(ii) 100%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Concentration Reserve Percentage at such time.</w:t>
      </w:r>
    </w:p>
    <w:p>
      <w:pPr>
        <w:spacing w:after="0" w:line="162"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Concentration Reserve Percentage</w:t>
      </w:r>
      <w:r>
        <w:rPr>
          <w:rFonts w:ascii="Times New Roman" w:cs="Times New Roman" w:eastAsia="Times New Roman" w:hAnsi="Times New Roman"/>
          <w:sz w:val="18"/>
          <w:szCs w:val="18"/>
          <w:color w:val="auto"/>
        </w:rPr>
        <w:t>” means, at any time of determination, the largest of: (a) the sum of the four (4) largest Obligor Percentages of the Group D Obligors, (b) the sum of the two (2) largest Obligor Percentages of the Group C Obligors, (c) the largest Obligor Percentage of the Group B Obligors and (d) the largest Obligor Percentage of the Group A Obligors.</w:t>
      </w:r>
    </w:p>
    <w:p>
      <w:pPr>
        <w:spacing w:after="0" w:line="176" w:lineRule="exact"/>
        <w:rPr>
          <w:sz w:val="20"/>
          <w:szCs w:val="20"/>
          <w:color w:val="auto"/>
        </w:rPr>
      </w:pPr>
    </w:p>
    <w:p>
      <w:pPr>
        <w:jc w:val="both"/>
        <w:ind w:right="3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Conduit Purchasers</w:t>
      </w:r>
      <w:r>
        <w:rPr>
          <w:rFonts w:ascii="Times New Roman" w:cs="Times New Roman" w:eastAsia="Times New Roman" w:hAnsi="Times New Roman"/>
          <w:sz w:val="18"/>
          <w:szCs w:val="18"/>
          <w:color w:val="auto"/>
        </w:rPr>
        <w:t>” means each commercial paper conduit or other entity that is a party to this Agreement, as a purchaser, or that becomes a party to this Agreement, as a purchaser pursuant to an Assumption Agreement. Any reference to the “related” Conduit Purchaser of any Committed Purchaser (or words to similar effect) shall be deemed to be a reference to the Conduit Purchaser (if any) in such Committed Purchaser’s Purchaser Group.</w:t>
      </w:r>
    </w:p>
    <w:p>
      <w:pPr>
        <w:spacing w:after="0" w:line="180"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means, with respect to any SOFR Rate, Daily Resetting SOFR or Daily Simple SOFR or any Benchmark Replacement in relation thereto, any technical, administrative or operational changes (including changes to the definition of “Base Rate,” the definition of “Business Day,” the definition of “Yield Period,” timing and frequency of determining rates and making payments of discount, timing of investment requests or prepayment, conversion or continuation notices, the applicability and length of lookback periods, the applicability of termination fees, and other technical, administrative or operational matters) that the Administrator decides may be appropriate to reflect the adoption and implementation of any SOFR Rate, Daily Resetting SOFR or Daily Simple SOFR or such Benchmark Replacement and to permit the administration thereof by the Administrator in a manner substantially consistent with market practice (or, if the Administrator decides that adoption of any portion of such market practice is not administratively feasible or if the Administrator determines that no market practice for the administration of any SOFR Rate, Daily Resetting SOFR or Daily Simple SOFR or the Benchmark Replacement exists, in such other manner of administration as the Administrator decides is reasonably necessary in connection with the administration of this Agreement and the other Transaction Documents).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I-5</w:t>
      </w:r>
    </w:p>
    <w:p>
      <w:pPr>
        <w:sectPr>
          <w:pgSz w:w="11900" w:h="16838" w:orient="portrait"/>
          <w:cols w:equalWidth="0" w:num="1">
            <w:col w:w="10980"/>
          </w:cols>
          <w:pgMar w:left="440" w:top="270" w:right="479" w:bottom="1440" w:gutter="0" w:footer="0" w:header="0"/>
        </w:sectPr>
      </w:pPr>
    </w:p>
    <w:bookmarkStart w:id="218" w:name="page219"/>
    <w:bookmarkEnd w:id="218"/>
    <w:p>
      <w:pPr>
        <w:ind w:left="4" w:right="4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with respect to any Receivable, any and all contracts, instruments, agreements, leases, invoices, notes or other writings pursuant to which such Receivable arises or that evidence such Receivable or under which an Obligor becomes or is obligated to make payment in respect of such Receivable.</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 Amount</w:t>
      </w:r>
      <w:r>
        <w:rPr>
          <w:rFonts w:ascii="Times New Roman" w:cs="Times New Roman" w:eastAsia="Times New Roman" w:hAnsi="Times New Roman"/>
          <w:sz w:val="18"/>
          <w:szCs w:val="18"/>
          <w:color w:val="auto"/>
        </w:rPr>
        <w:t xml:space="preserve">” means, at any time of determination and with respect to any Obligor, the Contra Proxy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on fifteen</w:t>
      </w:r>
    </w:p>
    <w:p>
      <w:pPr>
        <w:spacing w:after="0" w:line="27" w:lineRule="exact"/>
        <w:rPr>
          <w:sz w:val="20"/>
          <w:szCs w:val="20"/>
          <w:color w:val="auto"/>
        </w:rPr>
      </w:pPr>
    </w:p>
    <w:p>
      <w:pPr>
        <w:jc w:val="both"/>
        <w:ind w:left="4" w:right="80" w:hanging="4"/>
        <w:spacing w:after="0" w:line="253" w:lineRule="auto"/>
        <w:tabs>
          <w:tab w:leader="none" w:pos="349"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notice to the Servicer, the “Contra Amount” with respect to any Obligor shall be the actual aggregate amounts of indebtedness and other obligations owed to such Obligor and its Affiliates by any Originator or any of its Affiliates, including, without limitation, any such indebtedness or obligations arising in connection with the sale of goods or rendering of services by such Obligor or its Affiliates to any Originator or any of its Affiliates.</w:t>
      </w:r>
    </w:p>
    <w:p>
      <w:pPr>
        <w:spacing w:after="0" w:line="189" w:lineRule="exact"/>
        <w:rPr>
          <w:sz w:val="20"/>
          <w:szCs w:val="20"/>
          <w:color w:val="auto"/>
        </w:rPr>
      </w:pPr>
    </w:p>
    <w:p>
      <w:pPr>
        <w:ind w:left="4" w:right="5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 Proxy Amount</w:t>
      </w:r>
      <w:r>
        <w:rPr>
          <w:rFonts w:ascii="Times New Roman" w:cs="Times New Roman" w:eastAsia="Times New Roman" w:hAnsi="Times New Roman"/>
          <w:sz w:val="18"/>
          <w:szCs w:val="18"/>
          <w:color w:val="auto"/>
        </w:rPr>
        <w:t>” means, at any time of determination and with respect to any Obligor, an amount equal to 0.9% of the Outstanding Balance of such Obligor’s Receivables.</w:t>
      </w:r>
    </w:p>
    <w:p>
      <w:pPr>
        <w:spacing w:after="0" w:line="162"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xml:space="preserve">” means (a) each of WESCO, the Seller and the Originators and their respective Subsidiaries, and (b) each Person that, directly or indirectly, controls a Person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For purposes of this definition, control of a Person means the direct or indirect (x) ownership of, or power to vote, 25% or more of the issued and outstanding equity interests having ordinary voting power for the election of directors of such Person or other Persons performing similar functions for such Person, or (y) power to direct or cause the direction of the management and policies of such Person whether by ownership of equity interests, contract or otherwise.</w:t>
      </w:r>
    </w:p>
    <w:p>
      <w:pPr>
        <w:spacing w:after="0" w:line="183"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u w:val="single" w:color="auto"/>
          <w:color w:val="0000FF"/>
        </w:rPr>
        <w:t>“CP Rate” means, subject to clauses (b) and (c) below, for any Conduit Purchaser and for any Yield Period for any Portion of Investment (a) the per annum rate equivalent to the weighted average cost (as determined by the applicable Purchaser Agent and which shall include commissions of placement agents and dealers, incremental carrying costs incurred with respect to Notes of such Person maturing on dates other than those on which corresponding funds are received by such Conduit Purchaser, other borrowings by such Conduit Purchaser (other than under any Program Support Agreement) and any other costs associated with the issuance of Notes) of or related to the issuance of Notes that are allocated, in whole or in part, by the applicable Purchaser Agent to fund or maintain such Portion of Investment (and which may be also allocated in part to the funding of other assets of such Conduit Purchaser); provided, however, that if any component of such rate is a discount rate, in calculating the “CP Rate” for such Portion of Investment for such Yield Period, the applicable Purchaser Agent shall for such component use the rate resulting from converting such discount rate to an interest bearing equivalent rate per annum; provided, further, that notwithstanding anything in this Agreement or the other Transaction Documents to the contrary, the Seller agrees that any amounts payable to the Purchasers in respect of Discount for any Yield Period with respect to any Portion of Investment funded by such Purchaser at the CP Rate shall include an amount equal to the portion of the face amount of the outstanding Notes issued to fund or maintain such Portion of Investment that corresponds to the portion of the proceeds of such Notes that was used to pay the interest component of maturing Notes issued to fund or maintain such Portion of Investment, to the extent that such Purchaser had not received payments of interest in respect of such interest component prior to the maturity date of such maturing Notes (for purposes of the foregoing, the “interest component” of Notes equals the excess of the face amount thereof over the net proceeds received by such Purchaser from the issuance of Notes, except that if such Notes are issued on an interest-bearing basis its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-2049780</wp:posOffset>
            </wp:positionV>
            <wp:extent cx="657479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-1912620</wp:posOffset>
            </wp:positionV>
            <wp:extent cx="667766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6776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-1775460</wp:posOffset>
            </wp:positionV>
            <wp:extent cx="676338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-1638300</wp:posOffset>
            </wp:positionV>
            <wp:extent cx="668655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6865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-1501140</wp:posOffset>
            </wp:positionV>
            <wp:extent cx="697801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-1363980</wp:posOffset>
            </wp:positionV>
            <wp:extent cx="678053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7805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-1226820</wp:posOffset>
            </wp:positionV>
            <wp:extent cx="669480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-1089660</wp:posOffset>
            </wp:positionV>
            <wp:extent cx="689229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922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-952500</wp:posOffset>
            </wp:positionV>
            <wp:extent cx="694372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-815340</wp:posOffset>
            </wp:positionV>
            <wp:extent cx="672909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7290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-678180</wp:posOffset>
            </wp:positionV>
            <wp:extent cx="690054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-541020</wp:posOffset>
            </wp:positionV>
            <wp:extent cx="697801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9780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-403860</wp:posOffset>
            </wp:positionV>
            <wp:extent cx="693483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-266700</wp:posOffset>
            </wp:positionV>
            <wp:extent cx="684085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-129540</wp:posOffset>
            </wp:positionV>
            <wp:extent cx="690054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90054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6985</wp:posOffset>
            </wp:positionV>
            <wp:extent cx="18084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10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I-6</w:t>
      </w:r>
    </w:p>
    <w:p>
      <w:pPr>
        <w:sectPr>
          <w:pgSz w:w="11900" w:h="16838" w:orient="portrait"/>
          <w:cols w:equalWidth="0" w:num="1">
            <w:col w:w="10984"/>
          </w:cols>
          <w:pgMar w:left="436" w:top="270" w:right="479" w:bottom="1440" w:gutter="0" w:footer="0" w:header="0"/>
        </w:sectPr>
      </w:pPr>
    </w:p>
    <w:bookmarkStart w:id="219" w:name="page220"/>
    <w:bookmarkEnd w:id="219"/>
    <w:p>
      <w:pPr>
        <w:ind w:right="20"/>
        <w:spacing w:after="0" w:line="254"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component” will equal the amount of interest accruing on such Notes through maturity), (b) if such Conduit Purchaser is Reliant Trust or Macro Trust, the Daily Resetting SOFR plus the SOFR Adjustment for each day during such Yield Period or (c) any other rate designated as the “CP Rate” for such Conduit Purchaser in a Purchaser Group Fee Letter, an Assumption Agreement or Transfer Supplement pursuant to which such Person becomes a party as a Conduit Purchaser to this Agreement, or any other writing or agreement provided by such Conduit Purchaser to the Seller, the Servicer and the applicable Purchaser Agent from time to time. The “CP Rate” for any day while a Termination Event or an Unmatured Termination Event exists shall be an interest rate equal to the greater of (x) 2.0% per annum above the Base Rate as in effect on such day and (y) the CP Rate as determined above pursuant to this definition. Notwithstanding the foregoing, if the CP Rate as determined herein would be less than zero percent (0.00%), such rate shall be deemed to be zero percent (0.00%) for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-955040</wp:posOffset>
            </wp:positionV>
            <wp:extent cx="688340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834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-817880</wp:posOffset>
            </wp:positionV>
            <wp:extent cx="686625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66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-680720</wp:posOffset>
            </wp:positionV>
            <wp:extent cx="69176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-543560</wp:posOffset>
            </wp:positionV>
            <wp:extent cx="672909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7290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-406400</wp:posOffset>
            </wp:positionV>
            <wp:extent cx="696912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-269240</wp:posOffset>
            </wp:positionV>
            <wp:extent cx="660082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6008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-132080</wp:posOffset>
            </wp:positionV>
            <wp:extent cx="68922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321437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72" w:lineRule="exact"/>
        <w:rPr>
          <w:sz w:val="20"/>
          <w:szCs w:val="20"/>
          <w:color w:val="auto"/>
        </w:rPr>
      </w:pPr>
    </w:p>
    <w:p>
      <w:pPr>
        <w:jc w:val="both"/>
        <w:ind w:right="100" w:firstLine="440"/>
        <w:spacing w:after="0" w:line="261" w:lineRule="auto"/>
        <w:rPr>
          <w:sz w:val="20"/>
          <w:szCs w:val="20"/>
          <w:color w:val="auto"/>
        </w:rPr>
      </w:pPr>
      <w:r>
        <w:rPr>
          <w:rFonts w:ascii="Times New Roman" w:cs="Times New Roman" w:eastAsia="Times New Roman" w:hAnsi="Times New Roman"/>
          <w:sz w:val="18"/>
          <w:szCs w:val="18"/>
          <w:u w:val="single" w:color="auto"/>
          <w:color w:val="0000FF"/>
        </w:rPr>
        <w:t>“CP Rate Investment” means, at any time, any Investment (or portion thereof) of any Conduit Purchaser, which Investment (or portion thereof) is then being funded by such Conduit Purchaser through the issuance of Notes. For the avoidance of doubt, to the extent any Conduit Purchaser funds any Investment through its Liquidity Agreement or any other Program Support Agreement, rather than through the issuance of Notes, such Investment shall not constitute CP Rate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-414020</wp:posOffset>
            </wp:positionV>
            <wp:extent cx="663511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6351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-276860</wp:posOffset>
            </wp:positionV>
            <wp:extent cx="6926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926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158559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160" w:lineRule="exact"/>
        <w:rPr>
          <w:sz w:val="20"/>
          <w:szCs w:val="20"/>
          <w:color w:val="auto"/>
        </w:rPr>
      </w:pPr>
    </w:p>
    <w:p>
      <w:pPr>
        <w:ind w:right="6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means that certain Fourth Amended and Restated Credit Agreement, dated as of the date hereof, among WESCO, certain Subsidiaries and Affiliates of WESCO, Barclays Bank PLC, as administrative agent, and the other Persons parties thereto, without giving effect to any termination thereof, as amended, restated, amended and restated, supplemented, renewed, refinanced, replaced or otherwise modified from time to time.</w:t>
      </w:r>
    </w:p>
    <w:p>
      <w:pPr>
        <w:spacing w:after="0" w:line="158" w:lineRule="exact"/>
        <w:rPr>
          <w:sz w:val="20"/>
          <w:szCs w:val="20"/>
          <w:color w:val="auto"/>
        </w:rPr>
      </w:pPr>
    </w:p>
    <w:p>
      <w:pPr>
        <w:ind w:right="6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Credit and Collection Policy</w:t>
      </w:r>
      <w:r>
        <w:rPr>
          <w:rFonts w:ascii="Times New Roman" w:cs="Times New Roman" w:eastAsia="Times New Roman" w:hAnsi="Times New Roman"/>
          <w:sz w:val="17"/>
          <w:szCs w:val="17"/>
          <w:color w:val="auto"/>
        </w:rPr>
        <w:t xml:space="preserve">” means, as the context may require, those receivables credit and collection policies and practices of each Originator and of WESCO in effect on the date of this Agreement and described in </w:t>
      </w:r>
      <w:r>
        <w:rPr>
          <w:rFonts w:ascii="Times New Roman" w:cs="Times New Roman" w:eastAsia="Times New Roman" w:hAnsi="Times New Roman"/>
          <w:sz w:val="17"/>
          <w:szCs w:val="17"/>
          <w:u w:val="single" w:color="auto"/>
          <w:color w:val="auto"/>
        </w:rPr>
        <w:t>Schedule I</w:t>
      </w:r>
      <w:r>
        <w:rPr>
          <w:rFonts w:ascii="Times New Roman" w:cs="Times New Roman" w:eastAsia="Times New Roman" w:hAnsi="Times New Roman"/>
          <w:sz w:val="17"/>
          <w:szCs w:val="17"/>
          <w:color w:val="auto"/>
        </w:rPr>
        <w:t xml:space="preserve"> to this Agreement, as modified in compliance with this Agreement.</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Cut-off Date</w:t>
      </w:r>
      <w:r>
        <w:rPr>
          <w:rFonts w:ascii="Times New Roman" w:cs="Times New Roman" w:eastAsia="Times New Roman" w:hAnsi="Times New Roman"/>
          <w:sz w:val="18"/>
          <w:szCs w:val="18"/>
          <w:color w:val="auto"/>
        </w:rPr>
        <w:t>” has the meaning set forth in the Sale Agreement.</w:t>
      </w:r>
    </w:p>
    <w:p>
      <w:pPr>
        <w:spacing w:after="0" w:line="225"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Rate Investment</w:t>
      </w:r>
      <w:r>
        <w:rPr>
          <w:rFonts w:ascii="Times New Roman" w:cs="Times New Roman" w:eastAsia="Times New Roman" w:hAnsi="Times New Roman"/>
          <w:sz w:val="18"/>
          <w:szCs w:val="18"/>
          <w:color w:val="auto"/>
        </w:rPr>
        <w:t>” means an Investment that accrues discount at a rate based on the (i) Base Rate, (ii) [reserved] or (iii) Daily Resetting SOFR.</w:t>
      </w:r>
    </w:p>
    <w:p>
      <w:pPr>
        <w:spacing w:after="0" w:line="162"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Rate Investment Option</w:t>
      </w:r>
      <w:r>
        <w:rPr>
          <w:rFonts w:ascii="Times New Roman" w:cs="Times New Roman" w:eastAsia="Times New Roman" w:hAnsi="Times New Roman"/>
          <w:sz w:val="18"/>
          <w:szCs w:val="18"/>
          <w:color w:val="auto"/>
        </w:rPr>
        <w:t xml:space="preserve">” means the option of the Seller to have Investments accrue discount at the rate and under the terms specified in </w:t>
      </w:r>
      <w:r>
        <w:rPr>
          <w:rFonts w:ascii="Times New Roman" w:cs="Times New Roman" w:eastAsia="Times New Roman" w:hAnsi="Times New Roman"/>
          <w:sz w:val="18"/>
          <w:szCs w:val="18"/>
          <w:u w:val="single" w:color="auto"/>
          <w:color w:val="auto"/>
        </w:rPr>
        <w:t>Section 1.12(a)(i)(B)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8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Report</w:t>
      </w:r>
      <w:r>
        <w:rPr>
          <w:rFonts w:ascii="Times New Roman" w:cs="Times New Roman" w:eastAsia="Times New Roman" w:hAnsi="Times New Roman"/>
          <w:sz w:val="18"/>
          <w:szCs w:val="18"/>
          <w:color w:val="auto"/>
        </w:rPr>
        <w:t xml:space="preserve">” means a report, in substantially the form of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to this Agreement, furnished to the Administrator pursuant to this Agreement.</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Days’ Sales Outstanding</w:t>
      </w:r>
      <w:r>
        <w:rPr>
          <w:rFonts w:ascii="Times New Roman" w:cs="Times New Roman" w:eastAsia="Times New Roman" w:hAnsi="Times New Roman"/>
          <w:sz w:val="18"/>
          <w:szCs w:val="18"/>
          <w:color w:val="auto"/>
        </w:rPr>
        <w:t>” means, for any calendar month, an amount computed as of the last day of such calendar month equal to: (a) the average of the Outstanding Balance of all Pool Receivables as of the last day of each of the three most recent calendar months ended on the last day of such calendar month divided by (b)(i) the aggregate credit sales made by the Originators during the three (3) calendar months ended on the last day of such calendar month divided by (ii) 90.</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I-7</w:t>
      </w:r>
    </w:p>
    <w:p>
      <w:pPr>
        <w:sectPr>
          <w:pgSz w:w="11900" w:h="16838" w:orient="portrait"/>
          <w:cols w:equalWidth="0" w:num="1">
            <w:col w:w="11000"/>
          </w:cols>
          <w:pgMar w:left="440" w:top="270" w:right="459" w:bottom="1440" w:gutter="0" w:footer="0" w:header="0"/>
        </w:sectPr>
      </w:pPr>
    </w:p>
    <w:bookmarkStart w:id="220" w:name="page221"/>
    <w:bookmarkEnd w:id="220"/>
    <w:p>
      <w:pPr>
        <w:ind w:left="4" w:right="4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means, for any day, SOFR, with the conventions for this rate (which will include a lookback) being established by the Administrator in accordance with the conventions for this rate recommended by the Relevant Governmental Body for determining “Daily Simple SOFR” for syndicated business loans; provided, that if the Administrator decides that any such convention is not administratively feasible for the Administrator, then the Administrator may establish another convention in its reasonable discretion.</w:t>
      </w:r>
    </w:p>
    <w:p>
      <w:pPr>
        <w:spacing w:after="0" w:line="180"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Resetting SOFR</w:t>
      </w:r>
      <w:r>
        <w:rPr>
          <w:rFonts w:ascii="Times New Roman" w:cs="Times New Roman" w:eastAsia="Times New Roman" w:hAnsi="Times New Roman"/>
          <w:sz w:val="18"/>
          <w:szCs w:val="18"/>
          <w:color w:val="auto"/>
        </w:rPr>
        <w:t>” means, for any day, the rate per annum determined by the Administrator by dividing (the resulting quotient rounded upwards, at the Administrator’s discretion, to the nearest 1/100th of 1%) (a) the SOFR Rate for a tenor of one-month on such day, or if such day is not a Business Day, the immediately preceding Business Day (such day, the “</w:t>
      </w:r>
      <w:r>
        <w:rPr>
          <w:rFonts w:ascii="Times New Roman" w:cs="Times New Roman" w:eastAsia="Times New Roman" w:hAnsi="Times New Roman"/>
          <w:sz w:val="18"/>
          <w:szCs w:val="18"/>
          <w:u w:val="single" w:color="auto"/>
          <w:color w:val="auto"/>
        </w:rPr>
        <w:t>Daily Resetting SOFR Determination Day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SOFR Rate for a tenor of one-month is not published on such Daily Resetting SOFR Determination Day, then the rate per annum for purposes of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shall be SOFR on the first Business Day immediately prior thereto, by (b) a number equal to 1.00 minus the SOFR Reserve Percentage.</w:t>
      </w:r>
    </w:p>
    <w:p>
      <w:pPr>
        <w:spacing w:after="0" w:line="183"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Resetting SOFR Option</w:t>
      </w:r>
      <w:r>
        <w:rPr>
          <w:rFonts w:ascii="Times New Roman" w:cs="Times New Roman" w:eastAsia="Times New Roman" w:hAnsi="Times New Roman"/>
          <w:sz w:val="18"/>
          <w:szCs w:val="18"/>
          <w:color w:val="auto"/>
        </w:rPr>
        <w:t xml:space="preserve">” means the option of the Seller to have Investments accrue </w:t>
      </w:r>
      <w:r>
        <w:rPr>
          <w:rFonts w:ascii="Times New Roman" w:cs="Times New Roman" w:eastAsia="Times New Roman" w:hAnsi="Times New Roman"/>
          <w:sz w:val="18"/>
          <w:szCs w:val="18"/>
          <w:color w:val="FF0000"/>
          <w:strike w:val="1"/>
        </w:rPr>
        <w:t>Yield</w:t>
      </w:r>
      <w:r>
        <w:rPr>
          <w:rFonts w:ascii="Times New Roman" w:cs="Times New Roman" w:eastAsia="Times New Roman" w:hAnsi="Times New Roman"/>
          <w:sz w:val="18"/>
          <w:szCs w:val="18"/>
          <w:u w:val="single" w:color="auto"/>
          <w:color w:val="0000FF"/>
        </w:rPr>
        <w:t>Discount</w:t>
      </w:r>
      <w:r>
        <w:rPr>
          <w:rFonts w:ascii="Times New Roman" w:cs="Times New Roman" w:eastAsia="Times New Roman" w:hAnsi="Times New Roman"/>
          <w:sz w:val="18"/>
          <w:szCs w:val="18"/>
          <w:color w:val="auto"/>
        </w:rPr>
        <w:t xml:space="preserve"> at the rate and under the terms specified in </w:t>
      </w:r>
      <w:r>
        <w:rPr>
          <w:rFonts w:ascii="Times New Roman" w:cs="Times New Roman" w:eastAsia="Times New Roman" w:hAnsi="Times New Roman"/>
          <w:sz w:val="18"/>
          <w:szCs w:val="18"/>
          <w:u w:val="single" w:color="auto"/>
          <w:color w:val="auto"/>
        </w:rPr>
        <w:t>Section 1.12(a)(i)(B)(2)</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4697730</wp:posOffset>
            </wp:positionH>
            <wp:positionV relativeFrom="paragraph">
              <wp:posOffset>-151130</wp:posOffset>
            </wp:positionV>
            <wp:extent cx="4114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14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w:t>
      </w:r>
      <w:r>
        <w:rPr>
          <w:rFonts w:ascii="Times New Roman" w:cs="Times New Roman" w:eastAsia="Times New Roman" w:hAnsi="Times New Roman"/>
          <w:sz w:val="18"/>
          <w:szCs w:val="18"/>
          <w:color w:val="auto"/>
        </w:rPr>
        <w:t>” means: (a) indebtedness for borrowed money, (b) obligations evidenced by bonds, debentures, notes or other similar instruments,</w:t>
      </w:r>
    </w:p>
    <w:p>
      <w:pPr>
        <w:spacing w:after="0" w:line="27" w:lineRule="exact"/>
        <w:rPr>
          <w:sz w:val="20"/>
          <w:szCs w:val="20"/>
          <w:color w:val="auto"/>
        </w:rPr>
      </w:pPr>
    </w:p>
    <w:p>
      <w:pPr>
        <w:ind w:left="4" w:hanging="4"/>
        <w:spacing w:after="0" w:line="265" w:lineRule="auto"/>
        <w:tabs>
          <w:tab w:leader="none" w:pos="249"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obligations to pay the deferred purchase price of property or services </w:t>
      </w:r>
      <w:r>
        <w:rPr>
          <w:rFonts w:ascii="Times New Roman" w:cs="Times New Roman" w:eastAsia="Times New Roman" w:hAnsi="Times New Roman"/>
          <w:sz w:val="17"/>
          <w:szCs w:val="17"/>
          <w:u w:val="single" w:color="auto"/>
          <w:color w:val="0000FF"/>
        </w:rPr>
        <w:t>(excluding current accounts payable incurred in the ordinary course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business)</w:t>
      </w:r>
      <w:r>
        <w:rPr>
          <w:rFonts w:ascii="Times New Roman" w:cs="Times New Roman" w:eastAsia="Times New Roman" w:hAnsi="Times New Roman"/>
          <w:sz w:val="17"/>
          <w:szCs w:val="17"/>
          <w:color w:val="000000"/>
        </w:rPr>
        <w:t>, (d) obligations as lessee under leases that shall have been or should be, in accordance with generally accepted accounting principles, recorded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 xml:space="preserve">as capital leases, and (e) obligations under direct or indirect guaranties in respect of, and obligations (contingent or otherwise) to purchase or otherwise acquire, or otherwise to assure a creditor against loss in respect of, indebtedness or obligations of others of the kinds referred to in </w:t>
      </w:r>
      <w:r>
        <w:rPr>
          <w:rFonts w:ascii="Times New Roman" w:cs="Times New Roman" w:eastAsia="Times New Roman" w:hAnsi="Times New Roman"/>
          <w:sz w:val="17"/>
          <w:szCs w:val="17"/>
          <w:u w:val="single" w:color="auto"/>
          <w:color w:val="000000"/>
        </w:rPr>
        <w:t>clauses (a)</w:t>
      </w:r>
      <w:r>
        <w:rPr>
          <w:rFonts w:ascii="Times New Roman" w:cs="Times New Roman" w:eastAsia="Times New Roman" w:hAnsi="Times New Roman"/>
          <w:sz w:val="17"/>
          <w:szCs w:val="17"/>
          <w:color w:val="000000"/>
        </w:rPr>
        <w:t xml:space="preserve"> through</w:t>
      </w:r>
    </w:p>
    <w:p>
      <w:pPr>
        <w:spacing w:after="0"/>
        <w:tabs>
          <w:tab w:leader="none" w:pos="0" w:val="left"/>
        </w:tabs>
        <w:numPr>
          <w:ilvl w:val="0"/>
          <w:numId w:val="246"/>
        </w:numPr>
        <w:rPr>
          <w:rFonts w:ascii="Times New Roman" w:cs="Times New Roman" w:eastAsia="Times New Roman" w:hAnsi="Times New Roman"/>
          <w:sz w:val="18"/>
          <w:szCs w:val="18"/>
          <w:u w:val="single" w:color="auto"/>
          <w:color w:val="auto"/>
        </w:rPr>
      </w:pP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3300095</wp:posOffset>
            </wp:positionH>
            <wp:positionV relativeFrom="paragraph">
              <wp:posOffset>-533400</wp:posOffset>
            </wp:positionV>
            <wp:extent cx="324040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24040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-396240</wp:posOffset>
            </wp:positionV>
            <wp:extent cx="42862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187" w:lineRule="exact"/>
        <w:rPr>
          <w:sz w:val="20"/>
          <w:szCs w:val="20"/>
          <w:color w:val="auto"/>
        </w:rPr>
      </w:pPr>
    </w:p>
    <w:p>
      <w:pPr>
        <w:ind w:left="4" w:right="18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Default Ratio</w:t>
      </w:r>
      <w:r>
        <w:rPr>
          <w:rFonts w:ascii="Times New Roman" w:cs="Times New Roman" w:eastAsia="Times New Roman" w:hAnsi="Times New Roman"/>
          <w:sz w:val="17"/>
          <w:szCs w:val="17"/>
          <w:color w:val="auto"/>
        </w:rPr>
        <w:t>” means the ratio (expressed as a percentage and rounded to the nearest 1/100 of 1%, with 5/1000th of 1% rounded upward) computed as of the last day of each calendar month by dividing: (a) the aggregate Outstanding Balance of all Pool Receivables that became Defaulted Receivables during such month, by (b) the aggregate credit sales made by the Originators during the month that is six months prior to such month.</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Defaulted Receivable</w:t>
      </w:r>
      <w:r>
        <w:rPr>
          <w:rFonts w:ascii="Times New Roman" w:cs="Times New Roman" w:eastAsia="Times New Roman" w:hAnsi="Times New Roman"/>
          <w:sz w:val="18"/>
          <w:szCs w:val="18"/>
          <w:color w:val="auto"/>
        </w:rPr>
        <w:t>” means a Receivable:</w:t>
      </w:r>
    </w:p>
    <w:p>
      <w:pPr>
        <w:spacing w:after="0" w:line="117" w:lineRule="exact"/>
        <w:rPr>
          <w:sz w:val="20"/>
          <w:szCs w:val="20"/>
          <w:color w:val="auto"/>
        </w:rPr>
      </w:pPr>
    </w:p>
    <w:p>
      <w:pPr>
        <w:ind w:left="1104" w:hanging="241"/>
        <w:spacing w:after="0"/>
        <w:tabs>
          <w:tab w:leader="none" w:pos="1104"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which any payment, or part thereof, remains unpaid for more than 180 days from the original invoice date for such payment, or</w:t>
      </w:r>
    </w:p>
    <w:p>
      <w:pPr>
        <w:spacing w:after="0" w:line="117" w:lineRule="exact"/>
        <w:rPr>
          <w:rFonts w:ascii="Times New Roman" w:cs="Times New Roman" w:eastAsia="Times New Roman" w:hAnsi="Times New Roman"/>
          <w:sz w:val="18"/>
          <w:szCs w:val="18"/>
          <w:color w:val="auto"/>
        </w:rPr>
      </w:pPr>
    </w:p>
    <w:p>
      <w:pPr>
        <w:ind w:left="444" w:right="60" w:firstLine="419"/>
        <w:spacing w:after="0" w:line="266" w:lineRule="auto"/>
        <w:tabs>
          <w:tab w:leader="none" w:pos="1122"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(i) as to which an Event of Bankruptcy shall have occurred with respect to the Obligor thereof or any other Person obligated thereon or owning any Related Security with respect thereto, (ii) that has been written off the Seller’s books as uncollectible or (iii) that should have been written off the Seller’s books as uncollectible pursuant to the Credit and Collection Policy.</w:t>
      </w:r>
    </w:p>
    <w:p>
      <w:pPr>
        <w:spacing w:after="0" w:line="176" w:lineRule="exact"/>
        <w:rPr>
          <w:sz w:val="20"/>
          <w:szCs w:val="20"/>
          <w:color w:val="auto"/>
        </w:rPr>
      </w:pPr>
    </w:p>
    <w:p>
      <w:pPr>
        <w:jc w:val="both"/>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Delinquency Ratio</w:t>
      </w:r>
      <w:r>
        <w:rPr>
          <w:rFonts w:ascii="Times New Roman" w:cs="Times New Roman" w:eastAsia="Times New Roman" w:hAnsi="Times New Roman"/>
          <w:sz w:val="18"/>
          <w:szCs w:val="18"/>
          <w:color w:val="auto"/>
        </w:rPr>
        <w:t>” means the ratio (expressed as a percentage and rounded to the nearest 1/100 of 1%, with 5/1000th of 1% rounded upward), computed as of the last day of each calendar month by dividing: (a) the aggregate Outstanding Balance of all Pool Receivables that became Delinquent Receivables during such month, by (b) the aggregate Outstanding Balance of all Pool Receivables on such day.</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I-8</w:t>
      </w:r>
    </w:p>
    <w:p>
      <w:pPr>
        <w:sectPr>
          <w:pgSz w:w="11900" w:h="16838" w:orient="portrait"/>
          <w:cols w:equalWidth="0" w:num="1">
            <w:col w:w="10964"/>
          </w:cols>
          <w:pgMar w:left="436" w:top="270" w:right="499" w:bottom="1440" w:gutter="0" w:footer="0" w:header="0"/>
        </w:sectPr>
      </w:pPr>
    </w:p>
    <w:bookmarkStart w:id="221" w:name="page222"/>
    <w:bookmarkEnd w:id="221"/>
    <w:p>
      <w:pPr>
        <w:jc w:val="both"/>
        <w:ind w:right="4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Delinquent Receivable</w:t>
      </w:r>
      <w:r>
        <w:rPr>
          <w:rFonts w:ascii="Times New Roman" w:cs="Times New Roman" w:eastAsia="Times New Roman" w:hAnsi="Times New Roman"/>
          <w:sz w:val="18"/>
          <w:szCs w:val="18"/>
          <w:color w:val="auto"/>
        </w:rPr>
        <w:t>” means a Receivable (a) as to which any payment, or part thereof, remains unpaid for more than 150 days from the original invoice date for such payment or (b) without duplication, which has been (or consistent with the Credit and Collection Policy, would be) classified as a Delinquent Receivable by the applicable Originator.</w:t>
      </w:r>
    </w:p>
    <w:p>
      <w:pPr>
        <w:spacing w:after="0" w:line="176"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Dilution Horizon Ratio</w:t>
      </w:r>
      <w:r>
        <w:rPr>
          <w:rFonts w:ascii="Times New Roman" w:cs="Times New Roman" w:eastAsia="Times New Roman" w:hAnsi="Times New Roman"/>
          <w:sz w:val="18"/>
          <w:szCs w:val="18"/>
          <w:color w:val="auto"/>
        </w:rPr>
        <w:t>” means, for any calendar month, the ratio (expressed as a percentage and rounded to the nearest 1/100th of 1%, with 5/1000th of 1% rounded upward) computed as of the last day of such calendar month of: (a) the aggregate credit sales made by the Originators during the two most recent calendar months (or such greater number of days or months as determined by the Administrator from time to time with the consent or at the direction of the Purchaser Agents following any periodic audit conducted pursuant to the Transaction Documents), to (b) the Adjusted Net Receivables Pool Balance at the last day of the most recent calendar month.</w:t>
      </w:r>
    </w:p>
    <w:p>
      <w:pPr>
        <w:spacing w:after="0" w:line="183"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Dilution Ratio</w:t>
      </w:r>
      <w:r>
        <w:rPr>
          <w:rFonts w:ascii="Times New Roman" w:cs="Times New Roman" w:eastAsia="Times New Roman" w:hAnsi="Times New Roman"/>
          <w:sz w:val="18"/>
          <w:szCs w:val="18"/>
          <w:color w:val="auto"/>
        </w:rPr>
        <w:t xml:space="preserve">” means the ratio (expressed as a percentage and rounded to the nearest 1/100th of 1%, with 5/1000th of 1% rounded upward), computed as of the last day of each calendar month by dividing: (a) the aggregate amount of payments made or owed by the Seller pursuant to </w:t>
      </w:r>
      <w:r>
        <w:rPr>
          <w:rFonts w:ascii="Times New Roman" w:cs="Times New Roman" w:eastAsia="Times New Roman" w:hAnsi="Times New Roman"/>
          <w:sz w:val="18"/>
          <w:szCs w:val="18"/>
          <w:u w:val="single" w:color="auto"/>
          <w:color w:val="auto"/>
        </w:rPr>
        <w:t>Section 1.4(e)(i)</w:t>
      </w:r>
      <w:r>
        <w:rPr>
          <w:rFonts w:ascii="Times New Roman" w:cs="Times New Roman" w:eastAsia="Times New Roman" w:hAnsi="Times New Roman"/>
          <w:sz w:val="18"/>
          <w:szCs w:val="18"/>
          <w:color w:val="auto"/>
        </w:rPr>
        <w:t xml:space="preserve"> of this Agreement during such calendar month by (b) the aggregate credit sales made by all the Originators during the calendar month that is one month prior to such calendar month.</w:t>
      </w:r>
    </w:p>
    <w:p>
      <w:pPr>
        <w:spacing w:after="0" w:line="180"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Dilution Reserve</w:t>
      </w:r>
      <w:r>
        <w:rPr>
          <w:rFonts w:ascii="Times New Roman" w:cs="Times New Roman" w:eastAsia="Times New Roman" w:hAnsi="Times New Roman"/>
          <w:sz w:val="18"/>
          <w:szCs w:val="18"/>
          <w:color w:val="auto"/>
        </w:rPr>
        <w:t xml:space="preserve">” means, on any date, an amount equal to: (a) the Aggregate Investments on such date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(b) (i) the Dilution Reserve Percentage on such date,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(ii) 100% minus the Dilution Reserve Percentage on such date.</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Dilution Reserve Percentage</w:t>
      </w:r>
      <w:r>
        <w:rPr>
          <w:rFonts w:ascii="Times New Roman" w:cs="Times New Roman" w:eastAsia="Times New Roman" w:hAnsi="Times New Roman"/>
          <w:sz w:val="18"/>
          <w:szCs w:val="18"/>
          <w:color w:val="auto"/>
        </w:rPr>
        <w:t xml:space="preserve">” means, on any date, the product of (i) the sum of (A) 2.00 times the Adjusted Dilution Ratio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Dilution Volatility Component,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(ii) the Dilution Horizon Ratio.</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Dilution Volatility Component</w:t>
      </w:r>
      <w:r>
        <w:rPr>
          <w:rFonts w:ascii="Times New Roman" w:cs="Times New Roman" w:eastAsia="Times New Roman" w:hAnsi="Times New Roman"/>
          <w:sz w:val="18"/>
          <w:szCs w:val="18"/>
          <w:color w:val="auto"/>
        </w:rPr>
        <w:t>” means, for any calendar month, the product of (a) the difference of (i) the highest three-month rolling average Dilution Ratio during the twelve most recent calendar months (the “</w:t>
      </w:r>
      <w:r>
        <w:rPr>
          <w:rFonts w:ascii="Times New Roman" w:cs="Times New Roman" w:eastAsia="Times New Roman" w:hAnsi="Times New Roman"/>
          <w:sz w:val="18"/>
          <w:szCs w:val="18"/>
          <w:u w:val="single" w:color="auto"/>
          <w:color w:val="auto"/>
        </w:rPr>
        <w:t>Highest 3-Month Rolling Average Dilution Ratio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the Adjusted Dilution Ratio for such calendar month,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(b) a fraction (i) the numerator of which is the Highest 3-Month Rolling Average Dilution Ratio during the twelve most recent calendar months and (ii) the denominator of which is the Adjusted Dilution Ratio for such calendar month.</w:t>
      </w:r>
    </w:p>
    <w:p>
      <w:pPr>
        <w:spacing w:after="0" w:line="180" w:lineRule="exact"/>
        <w:rPr>
          <w:sz w:val="20"/>
          <w:szCs w:val="20"/>
          <w:color w:val="auto"/>
        </w:rPr>
      </w:pPr>
    </w:p>
    <w:p>
      <w:pPr>
        <w:jc w:val="both"/>
        <w:ind w:right="2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Discount</w:t>
      </w:r>
      <w:r>
        <w:rPr>
          <w:rFonts w:ascii="Times New Roman" w:cs="Times New Roman" w:eastAsia="Times New Roman" w:hAnsi="Times New Roman"/>
          <w:sz w:val="18"/>
          <w:szCs w:val="18"/>
          <w:color w:val="auto"/>
        </w:rPr>
        <w:t xml:space="preserve">” means for each Portion of Investment for any Yield Period (or portion thereof), </w:t>
      </w:r>
      <w:r>
        <w:rPr>
          <w:rFonts w:ascii="Times New Roman" w:cs="Times New Roman" w:eastAsia="Times New Roman" w:hAnsi="Times New Roman"/>
          <w:sz w:val="18"/>
          <w:szCs w:val="18"/>
          <w:u w:val="single" w:color="auto"/>
          <w:color w:val="0000FF"/>
        </w:rPr>
        <w:t>(a) with respect to any Portion of Investment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than CP Rate Investments,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amount of discount accrued on such Portion of Investment during such Yield Period (or portion thereof) in accordance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with </w:t>
      </w:r>
      <w:r>
        <w:rPr>
          <w:rFonts w:ascii="Times New Roman" w:cs="Times New Roman" w:eastAsia="Times New Roman" w:hAnsi="Times New Roman"/>
          <w:sz w:val="18"/>
          <w:szCs w:val="18"/>
          <w:u w:val="single" w:color="auto"/>
          <w:color w:val="000000"/>
        </w:rPr>
        <w:t>Section 1.12</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and (b) if such Portion of Investment is a CP Rate Investment, then the CP Rate</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4463415</wp:posOffset>
            </wp:positionH>
            <wp:positionV relativeFrom="paragraph">
              <wp:posOffset>-278765</wp:posOffset>
            </wp:positionV>
            <wp:extent cx="230568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3056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wp:posOffset>
            </wp:positionV>
            <wp:extent cx="124269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42695" cy="8255"/>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-4445</wp:posOffset>
            </wp:positionV>
            <wp:extent cx="366903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6690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-38735</wp:posOffset>
            </wp:positionV>
            <wp:extent cx="367157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671570" cy="8255"/>
                    </a:xfrm>
                    <a:prstGeom prst="rect">
                      <a:avLst/>
                    </a:prstGeom>
                    <a:noFill/>
                  </pic:spPr>
                </pic:pic>
              </a:graphicData>
            </a:graphic>
          </wp:anchor>
        </w:drawing>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Discount Rate Option</w:t>
      </w:r>
      <w:r>
        <w:rPr>
          <w:rFonts w:ascii="Times New Roman" w:cs="Times New Roman" w:eastAsia="Times New Roman" w:hAnsi="Times New Roman"/>
          <w:sz w:val="18"/>
          <w:szCs w:val="18"/>
          <w:color w:val="auto"/>
        </w:rPr>
        <w:t>” means any Term Rate Investment Option or Daily Rate Investment Option.</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I-9</w:t>
      </w:r>
    </w:p>
    <w:p>
      <w:pPr>
        <w:sectPr>
          <w:pgSz w:w="11900" w:h="16838" w:orient="portrait"/>
          <w:cols w:equalWidth="0" w:num="1">
            <w:col w:w="10960"/>
          </w:cols>
          <w:pgMar w:left="440" w:top="270" w:right="499" w:bottom="1440" w:gutter="0" w:footer="0" w:header="0"/>
        </w:sectPr>
      </w:pPr>
    </w:p>
    <w:bookmarkStart w:id="222" w:name="page223"/>
    <w:bookmarkEnd w:id="222"/>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definition, or (c) any financial institution established in an EEA Member Country which is a subsidiary of an institution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definition and is subject to consolidated supervision with its parent.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Foreign Obligor</w:t>
      </w:r>
      <w:r>
        <w:rPr>
          <w:rFonts w:ascii="Times New Roman" w:cs="Times New Roman" w:eastAsia="Times New Roman" w:hAnsi="Times New Roman"/>
          <w:sz w:val="18"/>
          <w:szCs w:val="18"/>
          <w:color w:val="auto"/>
        </w:rPr>
        <w:t>” means an Obligor which is a resident of any country (other than the United States) that has a long-term currency rating of at least “A” by Standard and Poor’s and “A2” by Moody’s.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Receivable</w:t>
      </w:r>
      <w:r>
        <w:rPr>
          <w:rFonts w:ascii="Times New Roman" w:cs="Times New Roman" w:eastAsia="Times New Roman" w:hAnsi="Times New Roman"/>
          <w:sz w:val="18"/>
          <w:szCs w:val="18"/>
          <w:color w:val="auto"/>
        </w:rPr>
        <w:t>” means, at any time, a Pool Receivable:</w:t>
      </w:r>
    </w:p>
    <w:p>
      <w:pPr>
        <w:spacing w:after="0" w:line="117" w:lineRule="exact"/>
        <w:rPr>
          <w:sz w:val="20"/>
          <w:szCs w:val="20"/>
          <w:color w:val="auto"/>
        </w:rPr>
      </w:pPr>
    </w:p>
    <w:p>
      <w:pPr>
        <w:ind w:left="440" w:right="160" w:firstLine="419"/>
        <w:spacing w:after="0" w:line="282" w:lineRule="auto"/>
        <w:tabs>
          <w:tab w:leader="none" w:pos="1108"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Obligor of which is (i) a United States resident or an Eligible Foreign Obligor, (ii) not subject to any action of the type described in </w:t>
      </w:r>
      <w:r>
        <w:rPr>
          <w:rFonts w:ascii="Times New Roman" w:cs="Times New Roman" w:eastAsia="Times New Roman" w:hAnsi="Times New Roman"/>
          <w:sz w:val="18"/>
          <w:szCs w:val="18"/>
          <w:u w:val="single" w:color="auto"/>
          <w:color w:val="auto"/>
        </w:rPr>
        <w:t>paragraph (f)</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Exhibit V</w:t>
      </w:r>
      <w:r>
        <w:rPr>
          <w:rFonts w:ascii="Times New Roman" w:cs="Times New Roman" w:eastAsia="Times New Roman" w:hAnsi="Times New Roman"/>
          <w:sz w:val="18"/>
          <w:szCs w:val="18"/>
          <w:color w:val="auto"/>
        </w:rPr>
        <w:t xml:space="preserve"> to this Agreement, (iii) not an Affiliate of WESCO or any Originator and (iv) not a Sanctioned Person,</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denominated and payable only in U.S. dollars in the United States to a Lock-Box Account,</w:t>
      </w:r>
    </w:p>
    <w:p>
      <w:pPr>
        <w:spacing w:after="0" w:line="117" w:lineRule="exact"/>
        <w:rPr>
          <w:rFonts w:ascii="Times New Roman" w:cs="Times New Roman" w:eastAsia="Times New Roman" w:hAnsi="Times New Roman"/>
          <w:sz w:val="18"/>
          <w:szCs w:val="18"/>
          <w:color w:val="auto"/>
        </w:rPr>
      </w:pPr>
    </w:p>
    <w:p>
      <w:pPr>
        <w:ind w:left="440" w:firstLine="419"/>
        <w:spacing w:after="0" w:line="266" w:lineRule="auto"/>
        <w:tabs>
          <w:tab w:leader="none" w:pos="1108"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does not have a stated maturity which is more than 150 days after the original invoice date of such Receivable, unless a longer stated maturity is approved by and in the sole discretion of the Administrator and all of the Purchasers in writing, prior to the acquisition of such Receivable (or any interest therein),</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arises under a duly authorized Contract for the sale and delivery of goods and services in the ordinary course of an Originator’s</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w:t>
      </w:r>
    </w:p>
    <w:p>
      <w:pPr>
        <w:spacing w:after="0" w:line="98"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08"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arises under a duly authorized Contract that is in full force and effect and that is a legal, valid and binding obligation of the related Obligor, enforceable against such Obligor in accordance with its terms,</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conforms in all material respects with all Applicable Laws in effect,</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not the subject of any asserted dispute, offset, hold back defense, Adverse Claim or other claim,</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satisfies all applicable requirements of the applicable Credit and Collection Policy,</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I-10</w:t>
      </w:r>
    </w:p>
    <w:p>
      <w:pPr>
        <w:sectPr>
          <w:pgSz w:w="11900" w:h="16838" w:orient="portrait"/>
          <w:cols w:equalWidth="0" w:num="1">
            <w:col w:w="10980"/>
          </w:cols>
          <w:pgMar w:left="440" w:top="270" w:right="479" w:bottom="1440" w:gutter="0" w:footer="0" w:header="0"/>
        </w:sectPr>
      </w:pPr>
    </w:p>
    <w:bookmarkStart w:id="223" w:name="page224"/>
    <w:bookmarkEnd w:id="223"/>
    <w:p>
      <w:pPr>
        <w:ind w:left="640" w:hanging="221"/>
        <w:spacing w:after="0"/>
        <w:tabs>
          <w:tab w:leader="none" w:pos="64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that has not been modified, waived or restructured since its creation, except as permitted pursuant to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of this Agreement,</w:t>
      </w:r>
    </w:p>
    <w:p>
      <w:pPr>
        <w:spacing w:after="0" w:line="117" w:lineRule="exact"/>
        <w:rPr>
          <w:rFonts w:ascii="Times New Roman" w:cs="Times New Roman" w:eastAsia="Times New Roman" w:hAnsi="Times New Roman"/>
          <w:sz w:val="18"/>
          <w:szCs w:val="18"/>
          <w:color w:val="auto"/>
        </w:rPr>
      </w:pPr>
    </w:p>
    <w:p>
      <w:pPr>
        <w:ind w:right="440" w:firstLine="419"/>
        <w:spacing w:after="0" w:line="282" w:lineRule="auto"/>
        <w:tabs>
          <w:tab w:leader="none" w:pos="638"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the Seller owns good and marketable title, free and clear of any Adverse Claims, and that is freely assignable by the Seller (including without any consent of the related Obligor),</w:t>
      </w:r>
    </w:p>
    <w:p>
      <w:pPr>
        <w:spacing w:after="0" w:line="53" w:lineRule="exact"/>
        <w:rPr>
          <w:rFonts w:ascii="Times New Roman" w:cs="Times New Roman" w:eastAsia="Times New Roman" w:hAnsi="Times New Roman"/>
          <w:sz w:val="18"/>
          <w:szCs w:val="18"/>
          <w:color w:val="auto"/>
        </w:rPr>
      </w:pPr>
    </w:p>
    <w:p>
      <w:pPr>
        <w:ind w:right="280" w:firstLine="419"/>
        <w:spacing w:after="0" w:line="266" w:lineRule="auto"/>
        <w:tabs>
          <w:tab w:leader="none" w:pos="678"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the Administrator (for the benefit of each Purchaser) shall have a valid and enforceable undivided percentage ownership or security interest, to the extent of the Purchased Interest, and a valid and enforceable first priority perfected security interest therein and in the Related Security and Collections with respect thereto, in each case free and clear of any Adverse Claim,</w:t>
      </w:r>
    </w:p>
    <w:p>
      <w:pPr>
        <w:spacing w:after="0" w:line="67"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constitutes an account as defined in the UCC, and that is not evidenced by instruments or chattel paper,</w:t>
      </w:r>
    </w:p>
    <w:p>
      <w:pPr>
        <w:spacing w:after="0" w:line="117" w:lineRule="exact"/>
        <w:rPr>
          <w:rFonts w:ascii="Times New Roman" w:cs="Times New Roman" w:eastAsia="Times New Roman" w:hAnsi="Times New Roman"/>
          <w:sz w:val="18"/>
          <w:szCs w:val="18"/>
          <w:color w:val="auto"/>
        </w:rPr>
      </w:pPr>
    </w:p>
    <w:p>
      <w:pPr>
        <w:ind w:left="720" w:hanging="301"/>
        <w:spacing w:after="0"/>
        <w:tabs>
          <w:tab w:leader="none" w:pos="72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not a Defaulted Receivable or a Delinquent Receivable,</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none the Originator thereof, the Seller and the Servicer has established any offset arrangements with the related Obligor,</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which Defaulted Receivables of the related Obligor do not exceed 50% of the Outstanding Balance of all such Obligor’s Receivables,</w:t>
      </w:r>
    </w:p>
    <w:p>
      <w:pPr>
        <w:spacing w:after="0" w:line="128" w:lineRule="exact"/>
        <w:rPr>
          <w:rFonts w:ascii="Times New Roman" w:cs="Times New Roman" w:eastAsia="Times New Roman" w:hAnsi="Times New Roman"/>
          <w:sz w:val="17"/>
          <w:szCs w:val="17"/>
          <w:color w:val="auto"/>
        </w:rPr>
      </w:pPr>
    </w:p>
    <w:p>
      <w:pPr>
        <w:ind w:right="760" w:firstLine="419"/>
        <w:spacing w:after="0" w:line="282" w:lineRule="auto"/>
        <w:tabs>
          <w:tab w:leader="none" w:pos="678"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represents amounts earned and payable by the Obligor that are not subject to the performance of additional services by the Originator thereof or the Seller,</w:t>
      </w:r>
    </w:p>
    <w:p>
      <w:pPr>
        <w:spacing w:after="0" w:line="53" w:lineRule="exact"/>
        <w:rPr>
          <w:rFonts w:ascii="Times New Roman" w:cs="Times New Roman" w:eastAsia="Times New Roman" w:hAnsi="Times New Roman"/>
          <w:sz w:val="18"/>
          <w:szCs w:val="18"/>
          <w:color w:val="auto"/>
        </w:rPr>
      </w:pPr>
    </w:p>
    <w:p>
      <w:pPr>
        <w:ind w:right="220" w:firstLine="419"/>
        <w:spacing w:after="0" w:line="282" w:lineRule="auto"/>
        <w:tabs>
          <w:tab w:leader="none" w:pos="678"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 does not relate to the sale of any consigned goods or finished goods which have incorporated any consigned goods into such finished goods and (ii) is not owed to any Originator or the Seller as a bailee or consignee for another Person,</w:t>
      </w:r>
    </w:p>
    <w:p>
      <w:pPr>
        <w:spacing w:after="0" w:line="53" w:lineRule="exact"/>
        <w:rPr>
          <w:rFonts w:ascii="Times New Roman" w:cs="Times New Roman" w:eastAsia="Times New Roman" w:hAnsi="Times New Roman"/>
          <w:sz w:val="18"/>
          <w:szCs w:val="18"/>
          <w:color w:val="auto"/>
        </w:rPr>
      </w:pPr>
    </w:p>
    <w:p>
      <w:pPr>
        <w:ind w:right="80" w:firstLine="419"/>
        <w:spacing w:after="0" w:line="266" w:lineRule="auto"/>
        <w:tabs>
          <w:tab w:leader="none" w:pos="648"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which is not a Receivable attributable to a business acquired by such Originator after the Closing Date unless and until such time, if any, that the Administrator gives written notice to the Servicer that such Receivables shall no longer be ineligible pursuant to this </w:t>
      </w:r>
      <w:r>
        <w:rPr>
          <w:rFonts w:ascii="Times New Roman" w:cs="Times New Roman" w:eastAsia="Times New Roman" w:hAnsi="Times New Roman"/>
          <w:sz w:val="18"/>
          <w:szCs w:val="18"/>
          <w:u w:val="single" w:color="auto"/>
          <w:color w:val="auto"/>
        </w:rPr>
        <w:t>clause (r)</w:t>
      </w:r>
      <w:r>
        <w:rPr>
          <w:rFonts w:ascii="Times New Roman" w:cs="Times New Roman" w:eastAsia="Times New Roman" w:hAnsi="Times New Roman"/>
          <w:sz w:val="18"/>
          <w:szCs w:val="18"/>
          <w:color w:val="auto"/>
        </w:rPr>
        <w:t>, such consent not to be unreasonably withheld, delayed or conditioned,</w:t>
      </w:r>
    </w:p>
    <w:p>
      <w:pPr>
        <w:spacing w:after="0" w:line="67"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not an Ineligible Subject Originator Receivable,</w:t>
      </w:r>
    </w:p>
    <w:p>
      <w:pPr>
        <w:spacing w:after="0" w:line="117" w:lineRule="exact"/>
        <w:rPr>
          <w:rFonts w:ascii="Times New Roman" w:cs="Times New Roman" w:eastAsia="Times New Roman" w:hAnsi="Times New Roman"/>
          <w:sz w:val="18"/>
          <w:szCs w:val="18"/>
          <w:color w:val="auto"/>
        </w:rPr>
      </w:pPr>
    </w:p>
    <w:p>
      <w:pPr>
        <w:ind w:right="220" w:firstLine="419"/>
        <w:spacing w:after="0" w:line="224" w:lineRule="auto"/>
        <w:tabs>
          <w:tab w:leader="none" w:pos="638"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on and after the one hundred twentieth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after the Closing Date, is not a Receivable the Originator of which is Anixter Inc. unless the Seller or Servicer shall have delivered an amendment to (or termination of) the Subject Anixter UCC in form and substance reasonably satisfactory to the Administrator;</w:t>
      </w:r>
    </w:p>
    <w:p>
      <w:pPr>
        <w:spacing w:after="0" w:line="90"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not </w:t>
      </w:r>
      <w:r>
        <w:rPr>
          <w:rFonts w:ascii="Times New Roman" w:cs="Times New Roman" w:eastAsia="Times New Roman" w:hAnsi="Times New Roman"/>
          <w:sz w:val="18"/>
          <w:szCs w:val="18"/>
          <w:color w:val="FF0000"/>
          <w:strike w:val="1"/>
        </w:rPr>
        <w:t>Embargoed</w:t>
      </w:r>
      <w:r>
        <w:rPr>
          <w:rFonts w:ascii="Times New Roman" w:cs="Times New Roman" w:eastAsia="Times New Roman" w:hAnsi="Times New Roman"/>
          <w:sz w:val="18"/>
          <w:szCs w:val="18"/>
          <w:u w:val="single" w:color="auto"/>
          <w:color w:val="0000FF"/>
        </w:rPr>
        <w:t>Blocked</w:t>
      </w:r>
      <w:r>
        <w:rPr>
          <w:rFonts w:ascii="Times New Roman" w:cs="Times New Roman" w:eastAsia="Times New Roman" w:hAnsi="Times New Roman"/>
          <w:sz w:val="18"/>
          <w:szCs w:val="18"/>
          <w:color w:val="auto"/>
        </w:rPr>
        <w:t xml:space="preserve"> Property; </w:t>
      </w:r>
      <w:r>
        <w:rPr>
          <w:rFonts w:ascii="Times New Roman" w:cs="Times New Roman" w:eastAsia="Times New Roman" w:hAnsi="Times New Roman"/>
          <w:sz w:val="18"/>
          <w:szCs w:val="18"/>
          <w:u w:val="single" w:color="auto"/>
          <w:color w:val="0000FF"/>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1235075</wp:posOffset>
            </wp:positionH>
            <wp:positionV relativeFrom="paragraph">
              <wp:posOffset>26035</wp:posOffset>
            </wp:positionV>
            <wp:extent cx="3771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77190" cy="8255"/>
                    </a:xfrm>
                    <a:prstGeom prst="rect">
                      <a:avLst/>
                    </a:prstGeom>
                    <a:noFill/>
                  </pic:spPr>
                </pic:pic>
              </a:graphicData>
            </a:graphic>
          </wp:anchor>
        </w:drawing>
        <w:drawing>
          <wp:anchor simplePos="0" relativeHeight="251657728" behindDoc="1" locked="0" layoutInCell="0" allowOverlap="1">
            <wp:simplePos x="0" y="0"/>
            <wp:positionH relativeFrom="column">
              <wp:posOffset>2092325</wp:posOffset>
            </wp:positionH>
            <wp:positionV relativeFrom="paragraph">
              <wp:posOffset>26035</wp:posOffset>
            </wp:positionV>
            <wp:extent cx="16256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pacing w:after="0" w:line="13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I-11</w:t>
      </w:r>
    </w:p>
    <w:p>
      <w:pPr>
        <w:sectPr>
          <w:pgSz w:w="11900" w:h="16838" w:orient="portrait"/>
          <w:cols w:equalWidth="0" w:num="1">
            <w:col w:w="10540"/>
          </w:cols>
          <w:pgMar w:left="880" w:top="270" w:right="479" w:bottom="1440" w:gutter="0" w:footer="0" w:header="0"/>
        </w:sectPr>
      </w:pPr>
    </w:p>
    <w:bookmarkStart w:id="224" w:name="page225"/>
    <w:bookmarkEnd w:id="224"/>
    <w:p>
      <w:pPr>
        <w:ind w:left="440" w:right="80" w:firstLine="419"/>
        <w:spacing w:after="0" w:line="282" w:lineRule="auto"/>
        <w:tabs>
          <w:tab w:leader="none" w:pos="1118"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which is not a Receivable, the Obligor of which is Fameccanica North America, Inc. or any Subsidiary thereof, unless the Administrator receives of evidence of the termination of the Fameccania Financing Statement</w:t>
      </w:r>
      <w:r>
        <w:rPr>
          <w:rFonts w:ascii="Times New Roman" w:cs="Times New Roman" w:eastAsia="Times New Roman" w:hAnsi="Times New Roman"/>
          <w:sz w:val="18"/>
          <w:szCs w:val="18"/>
          <w:color w:val="FF0000"/>
          <w:strike w:val="1"/>
        </w:rPr>
        <w:t>; and</w:t>
      </w:r>
      <w:r>
        <w:rPr>
          <w:rFonts w:ascii="Times New Roman" w:cs="Times New Roman" w:eastAsia="Times New Roman" w:hAnsi="Times New Roman"/>
          <w:sz w:val="18"/>
          <w:szCs w:val="18"/>
          <w:u w:val="single" w:color="auto"/>
          <w:color w:val="0000FF"/>
        </w:rPr>
        <w:t>.</w:t>
      </w:r>
    </w:p>
    <w:p>
      <w:pPr>
        <w:spacing w:after="0" w:line="53" w:lineRule="exact"/>
        <w:rPr>
          <w:rFonts w:ascii="Times New Roman" w:cs="Times New Roman" w:eastAsia="Times New Roman" w:hAnsi="Times New Roman"/>
          <w:sz w:val="18"/>
          <w:szCs w:val="18"/>
          <w:color w:val="auto"/>
        </w:rPr>
      </w:pPr>
    </w:p>
    <w:p>
      <w:pPr>
        <w:ind w:left="440" w:firstLine="419"/>
        <w:spacing w:after="0" w:line="257" w:lineRule="auto"/>
        <w:tabs>
          <w:tab w:leader="none" w:pos="1158" w:val="left"/>
        </w:tabs>
        <w:numPr>
          <w:ilvl w:val="1"/>
          <w:numId w:val="250"/>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the Originator of which is not Rahi Systems, unless and until such time, if ever, that the Administrator has delivered written notice to the Seller, Servicer and each Purchaser Agent that it has received (A) such information and reports with respect to Receivables originated by Rahi Systems, in form and detail reasonably satisfactory to the Administrator, as the Administrator has requested from the Seller or the Servicer and</w:t>
      </w:r>
    </w:p>
    <w:p>
      <w:pPr>
        <w:spacing w:after="0" w:line="1" w:lineRule="exact"/>
        <w:rPr>
          <w:rFonts w:ascii="Times New Roman" w:cs="Times New Roman" w:eastAsia="Times New Roman" w:hAnsi="Times New Roman"/>
          <w:sz w:val="18"/>
          <w:szCs w:val="18"/>
          <w:color w:val="FF0000"/>
          <w:strike w:val="1"/>
        </w:rPr>
      </w:pPr>
    </w:p>
    <w:p>
      <w:pPr>
        <w:ind w:left="440" w:hanging="4"/>
        <w:spacing w:after="0" w:line="253" w:lineRule="auto"/>
        <w:tabs>
          <w:tab w:leader="none" w:pos="725" w:val="left"/>
        </w:tabs>
        <w:numPr>
          <w:ilvl w:val="0"/>
          <w:numId w:val="251"/>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either (1) evidence reasonably satisfactory to the Administrator that Seller (or Servicer on its behalf) has instructed all Obligors of Receivables originated by Rahi Systems to deliver payments on such Receivables to an existing Lock-Box Account or (2) a duly executed Lock-Box Agreement (or amendment thereto) reasonably satisfactory to the Administrator relating to each account to which Seller (or Servicer on its behalf) has instructed Obligors of Receivables originated by Rahi Systems to make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4120515</wp:posOffset>
            </wp:positionH>
            <wp:positionV relativeFrom="paragraph">
              <wp:posOffset>-1024890</wp:posOffset>
            </wp:positionV>
            <wp:extent cx="2540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6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Embargoed Property</w:t>
      </w:r>
      <w:r>
        <w:rPr>
          <w:rFonts w:ascii="Times New Roman" w:cs="Times New Roman" w:eastAsia="Times New Roman" w:hAnsi="Times New Roman"/>
          <w:sz w:val="18"/>
          <w:szCs w:val="18"/>
          <w:color w:val="FF0000"/>
          <w:strike w:val="1"/>
        </w:rPr>
        <w:t>” means any property; (a) beneficially owned, directly or indirectly, by a Sanctioned Person; (b) that is due to or from a Sanctioned Person; (c) in which a Sanctioned Person otherwise holds any interest; (d) that is located in a Sanctioned Jurisdiction; or (e) that otherwise would cause any actual or possible violation by the Purchaser Parties or the Administrator of any applicable Anti-Terrorism Law if the Purchasers or the Administrator were to obtain an encumbrance on, lien on, pledge of, or security interest in such property, or provide services in consideration of such property.</w:t>
      </w:r>
    </w:p>
    <w:p>
      <w:pPr>
        <w:spacing w:after="0" w:line="183"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 and any successor statute of similar import, together with the regulations thereunder, in each case as in effect from time to time. References to sections of ERISA also refer to any successor sections.</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xml:space="preserve">” means: (a) any corporation that is a member of the same controlled group of corporations (within the meaning of Section 414(b) of the Internal Revenue Code) as the Seller, any Originator or WESCO, (b) a trade or business (whether or not incorporated) under common control (within the meaning of Section 414(c) of the Internal Revenue Code) with the Seller, any Originator or WESCO, or (c) a member of the same affiliated service group (within the meaning of Section 414(m) of the Internal Revenue Code) as the Seller, any Originator, any corporation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any trade or business described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4.8(a)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Notice</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4.8(a)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Securitisation Regulation</w:t>
      </w:r>
      <w:r>
        <w:rPr>
          <w:rFonts w:ascii="Times New Roman" w:cs="Times New Roman" w:eastAsia="Times New Roman" w:hAnsi="Times New Roman"/>
          <w:sz w:val="18"/>
          <w:szCs w:val="18"/>
          <w:color w:val="auto"/>
        </w:rPr>
        <w:t>” means Regulation (EU) 2017/2402 of the European Parliament and of the Council of 12 December 2017 laying down a general framework for securitisation and creating a specific framework for simple, transparent and standardized securitisation, and amending certain other European Union Directives and Regulations, as amended.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I-12</w:t>
      </w:r>
    </w:p>
    <w:p>
      <w:pPr>
        <w:sectPr>
          <w:pgSz w:w="11900" w:h="16838" w:orient="portrait"/>
          <w:cols w:equalWidth="0" w:num="1">
            <w:col w:w="11000"/>
          </w:cols>
          <w:pgMar w:left="440" w:top="270" w:right="459" w:bottom="1440" w:gutter="0" w:footer="0" w:header="0"/>
        </w:sectPr>
      </w:pPr>
    </w:p>
    <w:bookmarkStart w:id="225" w:name="page226"/>
    <w:bookmarkEnd w:id="225"/>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EU Securitisation Regulation Rules</w:t>
      </w:r>
      <w:r>
        <w:rPr>
          <w:rFonts w:ascii="Times New Roman" w:cs="Times New Roman" w:eastAsia="Times New Roman" w:hAnsi="Times New Roman"/>
          <w:sz w:val="18"/>
          <w:szCs w:val="18"/>
          <w:color w:val="auto"/>
        </w:rPr>
        <w:t>” means the EU Securitisation Regulation, together with all relevant implementing regulations in relation thereto, all regulatory technical standards and implementing technical standards in relation thereto or applicable in relation thereto pursuant to any transitional arrangements made pursuant to the EU Securitisation Regulation and, in each case, any relevant guidance published in relation thereto by the European Banking Authority, the European Securities and Markets Authority and the European Insurance and Occupational Pensions Authority (or in each case, any predecessor or any other applicable regulatory authority) or by the European Commission, in each case, as amended and in effect from time to time.</w:t>
      </w:r>
    </w:p>
    <w:p>
      <w:pPr>
        <w:spacing w:after="0" w:line="187"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EU/UK Risk Retention Letter</w:t>
      </w:r>
      <w:r>
        <w:rPr>
          <w:rFonts w:ascii="Times New Roman" w:cs="Times New Roman" w:eastAsia="Times New Roman" w:hAnsi="Times New Roman"/>
          <w:sz w:val="18"/>
          <w:szCs w:val="18"/>
          <w:color w:val="auto"/>
        </w:rPr>
        <w:t>” means the EU/UK risk retention letter, dated as of June 1, 2021, between WESCO, the Seller, the Originators and the Administrator, as the same may be amended or modified in accordance with its terms and the terms 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EUWA</w:t>
      </w:r>
      <w:r>
        <w:rPr>
          <w:rFonts w:ascii="Times New Roman" w:cs="Times New Roman" w:eastAsia="Times New Roman" w:hAnsi="Times New Roman"/>
          <w:sz w:val="18"/>
          <w:szCs w:val="18"/>
          <w:color w:val="auto"/>
        </w:rPr>
        <w:t>” means the European Union (Withdrawal) Act 2018, as amended.</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Bankruptcy</w:t>
      </w:r>
      <w:r>
        <w:rPr>
          <w:rFonts w:ascii="Times New Roman" w:cs="Times New Roman" w:eastAsia="Times New Roman" w:hAnsi="Times New Roman"/>
          <w:sz w:val="18"/>
          <w:szCs w:val="18"/>
          <w:color w:val="auto"/>
        </w:rPr>
        <w:t>” means (a) any case, action or proceeding before any court or other governmental authority relating to bankruptcy, reorganization, insolvency, liquidation, receivership, dissolution, winding-up or relief of debtors or (b) any general assignment for the benefit of creditors of a Person or any composition, marshalling of assets for creditors of a Person, or other similar arrangement in respect of its creditors generally or any substantial portion of its creditors; in each of cases (a) and (b) undertaken under U.S. Federal, state or foreign law, including the U.S. Bankruptcy Code.</w:t>
      </w:r>
    </w:p>
    <w:p>
      <w:pPr>
        <w:spacing w:after="0" w:line="183"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Exception Account</w:t>
      </w:r>
      <w:r>
        <w:rPr>
          <w:rFonts w:ascii="Times New Roman" w:cs="Times New Roman" w:eastAsia="Times New Roman" w:hAnsi="Times New Roman"/>
          <w:sz w:val="18"/>
          <w:szCs w:val="18"/>
          <w:color w:val="auto"/>
        </w:rPr>
        <w:t xml:space="preserve">” means each account identified as such in the Lock-Box Schedule Letter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“Exception Account” may be added to the Lock-Box Schedule Letter Agreement without the prior written consent of the Administrator in its sole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account shall cease to be an Exception Account upon the satisfaction of the following conditions: (x) such account is maintained in the name of the Seller and (y) the Seller, the Servicer, the Administrator and the related Lock-Box Bank have entered into a Lock-Box Agreement with respect to such account, in form and substance reasonably satisfactory to the Administrator.</w:t>
      </w:r>
    </w:p>
    <w:p>
      <w:pPr>
        <w:spacing w:after="0" w:line="183"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Exception Account Conditions</w:t>
      </w:r>
      <w:r>
        <w:rPr>
          <w:rFonts w:ascii="Times New Roman" w:cs="Times New Roman" w:eastAsia="Times New Roman" w:hAnsi="Times New Roman"/>
          <w:sz w:val="18"/>
          <w:szCs w:val="18"/>
          <w:color w:val="auto"/>
        </w:rPr>
        <w:t xml:space="preserve">” means (a) [reserved], (b) [reserved] and (c) with respect to each other Exception Account, (i) the amount of Collections received in (A) such Exception Account during each calendar month does not exceed $10,000,000 (or such other amounts agreed to in writing by the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higher amount shall not exceed $20,000,000 unless agreed to in writing by the Majority Purchasers) and (B) all such Exception Accounts under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in the aggregate, during each calendar month does not exceed $15,000,000 (or such other amounts agreed to in writing by the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higher amount shall not exceed $30,000,000 unless agreed to in writing by the Majority Purchasers), (ii) no Termination Event has occurred and is continuing and (iii) all Collections received in such Exception Account are being automatically transferred directly to a Lock-Box Account (other than an Exception Account) no later than two (2) Business Day following receipt thereof.</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I-13</w:t>
      </w:r>
    </w:p>
    <w:p>
      <w:pPr>
        <w:sectPr>
          <w:pgSz w:w="11900" w:h="16838" w:orient="portrait"/>
          <w:cols w:equalWidth="0" w:num="1">
            <w:col w:w="10980"/>
          </w:cols>
          <w:pgMar w:left="440" w:top="270" w:right="479" w:bottom="1440" w:gutter="0" w:footer="0" w:header="0"/>
        </w:sectPr>
      </w:pPr>
    </w:p>
    <w:bookmarkStart w:id="226" w:name="page227"/>
    <w:bookmarkEnd w:id="22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Excess Concentration</w:t>
      </w:r>
      <w:r>
        <w:rPr>
          <w:rFonts w:ascii="Times New Roman" w:cs="Times New Roman" w:eastAsia="Times New Roman" w:hAnsi="Times New Roman"/>
          <w:sz w:val="18"/>
          <w:szCs w:val="18"/>
          <w:color w:val="auto"/>
        </w:rPr>
        <w:t>” means, without duplication, the sum of the following amounts:</w:t>
      </w:r>
    </w:p>
    <w:p>
      <w:pPr>
        <w:spacing w:after="0" w:line="117" w:lineRule="exact"/>
        <w:rPr>
          <w:sz w:val="20"/>
          <w:szCs w:val="20"/>
          <w:color w:val="auto"/>
        </w:rPr>
      </w:pPr>
    </w:p>
    <w:p>
      <w:pPr>
        <w:jc w:val="both"/>
        <w:ind w:left="440" w:right="140" w:firstLine="419"/>
        <w:spacing w:after="0" w:line="266" w:lineRule="auto"/>
        <w:tabs>
          <w:tab w:leader="none" w:pos="1078"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by which the Outstanding Balance of Eligible Receivables of each Obligor then in the Receivables Pool exceeds an amount equal to: (a) the applicable Concentration Percentage for such Obligor multiplied by (b) the Outstanding Balance of all Eligible Receivables then in the Receivables Pool;</w:t>
      </w:r>
    </w:p>
    <w:p>
      <w:pPr>
        <w:spacing w:after="0" w:line="67" w:lineRule="exact"/>
        <w:rPr>
          <w:rFonts w:ascii="Times New Roman" w:cs="Times New Roman" w:eastAsia="Times New Roman" w:hAnsi="Times New Roman"/>
          <w:sz w:val="18"/>
          <w:szCs w:val="18"/>
          <w:color w:val="auto"/>
        </w:rPr>
      </w:pPr>
    </w:p>
    <w:p>
      <w:pPr>
        <w:ind w:left="440" w:firstLine="419"/>
        <w:spacing w:after="0" w:line="282" w:lineRule="auto"/>
        <w:tabs>
          <w:tab w:leader="none" w:pos="1128"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by which the aggregate Outstanding Balance of all Eligible Receivables then in the Receivables Pool, the Obligor of which is an Eligible Foreign Obligor, exceeds 3.00% of the aggregate Outstanding Balance of all Eligible Receivables then in the Receivables Pool;</w:t>
      </w:r>
    </w:p>
    <w:p>
      <w:pPr>
        <w:spacing w:after="0" w:line="53" w:lineRule="exact"/>
        <w:rPr>
          <w:rFonts w:ascii="Times New Roman" w:cs="Times New Roman" w:eastAsia="Times New Roman" w:hAnsi="Times New Roman"/>
          <w:sz w:val="18"/>
          <w:szCs w:val="18"/>
          <w:color w:val="auto"/>
        </w:rPr>
      </w:pPr>
    </w:p>
    <w:p>
      <w:pPr>
        <w:jc w:val="both"/>
        <w:ind w:left="440" w:right="60" w:firstLine="419"/>
        <w:spacing w:after="0" w:line="266" w:lineRule="auto"/>
        <w:tabs>
          <w:tab w:leader="none" w:pos="1178"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by which the aggregate Outstanding Balance of all Eligible Receivables then in the Receivables Pool, the Obligor of which is a government or governmental subdivision, affiliate or agency, exceeds 5.00% of the aggregate Outstanding Balance of all Eligible Receivables then in the Receivables Pool;</w:t>
      </w:r>
    </w:p>
    <w:p>
      <w:pPr>
        <w:spacing w:after="0" w:line="6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89" w:lineRule="auto"/>
        <w:tabs>
          <w:tab w:leader="none" w:pos="1118" w:val="left"/>
        </w:tabs>
        <w:numPr>
          <w:ilvl w:val="0"/>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by which the aggregate Outstanding Balance of all Eligible Receivables then in the Receivables Pool which are aged greater than 90 days from the original invoice date for such payment and without duplication less than 121 days from the original invoice date for such payment, exceeds 7.50% of the aggregate credit sales made by the Originators in the month that is three months prior to the current month; and</w:t>
      </w:r>
    </w:p>
    <w:p>
      <w:pPr>
        <w:spacing w:after="0" w:line="49" w:lineRule="exact"/>
        <w:rPr>
          <w:rFonts w:ascii="Times New Roman" w:cs="Times New Roman" w:eastAsia="Times New Roman" w:hAnsi="Times New Roman"/>
          <w:sz w:val="17"/>
          <w:szCs w:val="17"/>
          <w:color w:val="auto"/>
        </w:rPr>
      </w:pPr>
    </w:p>
    <w:p>
      <w:pPr>
        <w:ind w:left="440" w:right="40" w:firstLine="419"/>
        <w:spacing w:after="0" w:line="289" w:lineRule="auto"/>
        <w:tabs>
          <w:tab w:leader="none" w:pos="1168" w:val="left"/>
        </w:tabs>
        <w:numPr>
          <w:ilvl w:val="0"/>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by which the aggregate Outstanding Balance of all Eligible Receivables then in the Receivables Pool which are aged greater than 120 days from the original invoice date for such payment and without duplication less than 151 days from the original invoice date for such payment, exceeds 5.00% of the aggregate credit sales made by the Originators in the month that is four months prior to the current month.</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Receivable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Schedule X</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Exiting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1.4(b)(ii)</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Exiting Purchaser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1.4(b)(ii)</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Fameccania Financing Statement</w:t>
      </w:r>
      <w:r>
        <w:rPr>
          <w:rFonts w:ascii="Times New Roman" w:cs="Times New Roman" w:eastAsia="Times New Roman" w:hAnsi="Times New Roman"/>
          <w:sz w:val="18"/>
          <w:szCs w:val="18"/>
          <w:color w:val="auto"/>
        </w:rPr>
        <w:t>” means that certain UCC-1 Financing Statement with the filing number 2021 3929933, filed with the Delaware Department of State on May 20, 2021, naming “WESCO DISTRIBUTION INC.”, as the debtor and “DEUTSCHE BANKE AG, ACTING BY AND THROGH ITS NEW YORK BRANCH”, as the secured party.</w:t>
      </w:r>
    </w:p>
    <w:p>
      <w:pPr>
        <w:spacing w:after="0" w:line="176"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 Termination Date</w:t>
      </w:r>
      <w:r>
        <w:rPr>
          <w:rFonts w:ascii="Times New Roman" w:cs="Times New Roman" w:eastAsia="Times New Roman" w:hAnsi="Times New Roman"/>
          <w:sz w:val="18"/>
          <w:szCs w:val="18"/>
          <w:color w:val="auto"/>
        </w:rPr>
        <w:t xml:space="preserve">” means the earliest to occur of: (a) with respect to any Purchaser, the applicable Scheduled Commitment Termination Date with respect to such Purchaser, subject to any extension thereof pursuant to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xml:space="preserve"> of this Agreement (it being understood that if any such Purchaser does not extend its Commitment hereunder then the Purchase Limit shall be reduced ratably with respect to the Purchasers in each Purchaser Group by an amount equal to the Commitment of such non-extending Purchaser and the Commitment Percentages and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I-14</w:t>
      </w:r>
    </w:p>
    <w:p>
      <w:pPr>
        <w:sectPr>
          <w:pgSz w:w="11900" w:h="16838" w:orient="portrait"/>
          <w:cols w:equalWidth="0" w:num="1">
            <w:col w:w="11000"/>
          </w:cols>
          <w:pgMar w:left="440" w:top="270" w:right="459" w:bottom="1440" w:gutter="0" w:footer="0" w:header="0"/>
        </w:sectPr>
      </w:pPr>
    </w:p>
    <w:bookmarkStart w:id="227" w:name="page228"/>
    <w:bookmarkEnd w:id="227"/>
    <w:p>
      <w:pPr>
        <w:ind w:left="4"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Group Commitments of the Purchasers within each Purchaser Group shall be appropriately adjusted), (b) the date determined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of this Agreement, (c) the date the Purchase Limit reduces to zero pursuant to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of this Agreement and (d) with respect to each Purchaser Group, the date that the commitment, of all of the Committed Purchasers of such Purchaser Group terminate pursuant to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Reserve Board</w:t>
      </w:r>
      <w:r>
        <w:rPr>
          <w:rFonts w:ascii="Times New Roman" w:cs="Times New Roman" w:eastAsia="Times New Roman" w:hAnsi="Times New Roman"/>
          <w:sz w:val="18"/>
          <w:szCs w:val="18"/>
          <w:color w:val="auto"/>
        </w:rPr>
        <w:t>” means the Board of Governors of the Federal Reserve System, or any entity succeeding to any of its principal functions.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means the fees payable by the Seller to each Purchaser Group pursuant to the applicable Purchaser Group Fee Letter.</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Fifth Third</w:t>
      </w:r>
      <w:r>
        <w:rPr>
          <w:rFonts w:ascii="Times New Roman" w:cs="Times New Roman" w:eastAsia="Times New Roman" w:hAnsi="Times New Roman"/>
          <w:sz w:val="18"/>
          <w:szCs w:val="18"/>
          <w:color w:val="auto"/>
        </w:rPr>
        <w:t>” means Fifth Third Bank, National Association.</w:t>
      </w:r>
    </w:p>
    <w:p>
      <w:pPr>
        <w:spacing w:after="0" w:line="225" w:lineRule="exact"/>
        <w:rPr>
          <w:sz w:val="20"/>
          <w:szCs w:val="20"/>
          <w:color w:val="auto"/>
        </w:rPr>
      </w:pPr>
    </w:p>
    <w:p>
      <w:pPr>
        <w:ind w:left="4" w:right="2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Payout Date</w:t>
      </w:r>
      <w:r>
        <w:rPr>
          <w:rFonts w:ascii="Times New Roman" w:cs="Times New Roman" w:eastAsia="Times New Roman" w:hAnsi="Times New Roman"/>
          <w:sz w:val="18"/>
          <w:szCs w:val="18"/>
          <w:color w:val="auto"/>
        </w:rPr>
        <w:t>” means the date on or after the Facility Termination Date when (i) no Investment of or Discount in respect of the Purchased Interest shall be outstanding, (ii) all other amounts owing to each Indemnified Party and Affected Person hereunder and under the other Transaction Documents have been paid in full and (iii) all accrued Servicing Fees have been paid in full.</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a rate of interest equal to 0.00%.</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the generally accepted accounting principles and practices in the United States, consistently applied.</w:t>
      </w:r>
    </w:p>
    <w:p>
      <w:pPr>
        <w:spacing w:after="0" w:line="225" w:lineRule="exact"/>
        <w:rPr>
          <w:sz w:val="20"/>
          <w:szCs w:val="20"/>
          <w:color w:val="auto"/>
        </w:rPr>
      </w:pPr>
    </w:p>
    <w:p>
      <w:pPr>
        <w:ind w:left="4" w:right="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the Financial Accounting Standards Board, the Bank for International Settlements or the Basel Committee on Banking Supervision or any successor or similar authority to any of the foregoing).</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 A Obligor</w:t>
      </w:r>
      <w:r>
        <w:rPr>
          <w:rFonts w:ascii="Times New Roman" w:cs="Times New Roman" w:eastAsia="Times New Roman" w:hAnsi="Times New Roman"/>
          <w:sz w:val="18"/>
          <w:szCs w:val="18"/>
          <w:color w:val="auto"/>
        </w:rPr>
        <w:t>” means any Obligor (or its parent or majority owner, as applicable, if such Obligor is not rated) with a short-term rating of at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least: (a) “A-1” by Standard &amp; Poor’s, or if such Obligor does not have a short-term rating from S&amp;P, a rating of “A+” or better by Standard &amp; Poor’s on</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such Obligor’s, its parent’s, or its majority owner’s (as applicable) long-term senior unsecured and uncredit-enhanced debt securities,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(b) “P 1” by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Moody’s, or if such Obligor does not have a short-term rating from Moody’s, “Al” or better by Moody’s on such Obligor’s, its parent’s or its majority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owner’s (as applicable) long-term senior unsecured and uncredit-enhanced debt securities. Notwithstanding the foregoing, any Obligor that is 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Subsidiary of an Obligor that satisfies the definition of “Group A Obligor” shall be deemed to be a Group A Obligor and shall be aggregated with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Obligor that satisfies such definition for the purposes of determining the “Concentration Reserve Percentage”, the “Concentration Reserve” and </w:t>
      </w:r>
      <w:r>
        <w:rPr>
          <w:rFonts w:ascii="Times New Roman" w:cs="Times New Roman" w:eastAsia="Times New Roman" w:hAnsi="Times New Roman"/>
          <w:sz w:val="18"/>
          <w:szCs w:val="18"/>
          <w:u w:val="single" w:color="auto"/>
          <w:color w:val="auto"/>
        </w:rPr>
        <w:t>clause</w:t>
      </w:r>
    </w:p>
    <w:p>
      <w:pPr>
        <w:spacing w:after="0" w:line="9" w:lineRule="exact"/>
        <w:rPr>
          <w:sz w:val="20"/>
          <w:szCs w:val="20"/>
          <w:color w:val="auto"/>
        </w:rPr>
      </w:pPr>
    </w:p>
    <w:p>
      <w:pPr>
        <w:jc w:val="both"/>
        <w:ind w:left="4" w:right="120" w:hanging="4"/>
        <w:spacing w:after="0" w:line="255" w:lineRule="auto"/>
        <w:tabs>
          <w:tab w:leader="none" w:pos="219" w:val="left"/>
        </w:tabs>
        <w:numPr>
          <w:ilvl w:val="0"/>
          <w:numId w:val="25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of the definition of “Excess Concentration” for such Obligors, unless such deemed Obligor separately satisfies the definition of “Group A Obligor”, “Group B Obligor”, or “Group C Obligor”, in which case such Obligor shall be separately treated as a Group A Obligor, a Group B Obligor or a Group C Obligor, as the case may be, and shall be aggregated and combined for such purposes with any of its Subsidiaries that are Obligors.</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I-15</w:t>
      </w:r>
    </w:p>
    <w:p>
      <w:pPr>
        <w:sectPr>
          <w:pgSz w:w="11900" w:h="16838" w:orient="portrait"/>
          <w:cols w:equalWidth="0" w:num="1">
            <w:col w:w="11004"/>
          </w:cols>
          <w:pgMar w:left="436" w:top="270" w:right="459" w:bottom="1440" w:gutter="0" w:footer="0" w:header="0"/>
        </w:sectPr>
      </w:pPr>
    </w:p>
    <w:bookmarkStart w:id="228" w:name="page229"/>
    <w:bookmarkEnd w:id="228"/>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Group B Obligor</w:t>
      </w:r>
      <w:r>
        <w:rPr>
          <w:rFonts w:ascii="Times New Roman" w:cs="Times New Roman" w:eastAsia="Times New Roman" w:hAnsi="Times New Roman"/>
          <w:sz w:val="18"/>
          <w:szCs w:val="18"/>
          <w:color w:val="auto"/>
        </w:rPr>
        <w:t xml:space="preserve">” means an Obligor (or its parent or majority owner, as applicable, if such Obligor is not rated) that is not a Group A Obligor, with a short-term rating of at least: (a) “A 2” by Standard &amp; Poor’s, or if such Obligor does not have a short-term rating from Standard &amp; Poor’s, a rating of “BBB+” to “A” by Standard &amp; Poor’s on such Obligor’s, its parent’s or its majority owner’s (as applicable) long-term senior unsecured and uncredit-enhanced debt securities,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(b) “P 2” by Moody’s, or if such Obligor does not have a short-term rating from Moody’s, “Baal” to “A2” by Moody’s on such Obligor’s, its parent’s or its majority owner’s (as applicable) long-term senior unsecured and uncredit-enhanced debt securities. Notwithstanding the foregoing, any Obligor that is a Subsidiary of an Obligor that satisfies the definition of “Group B Obligor” shall be deemed to be a Group B Obligor and shall be aggregated with the Obligor that satisfies such definition for the purposes of determining the “Concentration Reserve Percentage”, the “Concentration Reserve” and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the definition of “Excess Concentration” for such Obligors, unless such deemed Obligor separately satisfies the definition of “Group A Obligor”, “Group B Obligor”, or “Group C Obligor”, in which case such Obligor shall be separately treated as a Group A Obligor, a Group B Obligor or a Group C Obligor, as the case may be, and shall be aggregated and combined for such purposes with any of its Subsidiaries that are Obligors.</w:t>
      </w:r>
    </w:p>
    <w:p>
      <w:pPr>
        <w:spacing w:after="0" w:line="19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 C Obligor</w:t>
      </w:r>
      <w:r>
        <w:rPr>
          <w:rFonts w:ascii="Times New Roman" w:cs="Times New Roman" w:eastAsia="Times New Roman" w:hAnsi="Times New Roman"/>
          <w:sz w:val="18"/>
          <w:szCs w:val="18"/>
          <w:color w:val="auto"/>
        </w:rPr>
        <w:t xml:space="preserve">” means an Obligor (or its parent or majority owner, as applicable, if such Obligor is not rated) that is not a Group A Obligor or a Group B Obligor, with a short-term rating of at least: (a) “A 3” by Standard &amp; Poor’s, or if such Obligor does not have a short-term rating from Standard &amp; Poor’s, a rating of “BBB-” to “BBB” by Standard &amp; Poor’s on such Obligor’s, its parent’s or its majority owner’s (as applicable) long-term senior unsecured and uncredit-enhanced debt securities,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(b) “P 3” by Moody’s, or if such Obligor does not have a short-term rating from Moody’s, “Baa3” to “Baa2” by Moody’s on such Obligor’s, its parent’s or its majority owner’s (as applicable) long-term senior unsecured and uncredit-enhanced debt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 Obligor (or its parent or majority owner, as applicable, if such Obligor is not rated) receives a split rating from Standard &amp; Poor’s and Moody’s, then such Obligor (or its parent or majority owner, as applicable) shall be deemed to have the rating from each of Standard &amp; Poor’s and Moody’s as determined in accordance with the rules of construction found in the final paragraph of this Article I, and such deemed rating shall be used for the purposes of whether such rating satisfies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Notwithstanding the foregoing, any Obligor that is a Subsidiary of an Obligor that satisfies the definition of “Group C Obligor” shall be deemed to be a Group C Obligor and shall be aggregated with the Obligor that satisfies such definition for the purposes of determining the “Concentration Reserve Percentage”, the “Concentration Reserve” and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the definition of “Excess Concentration” for such Obligors, unless such deemed Obligor separately satisfies the definition of “Group A Obligor”, “Group B Obligor”, or “Group C Obligor”, in which case such Obligor shall be separately treated as a Group A Obligor, a Group B Obligor or a Group C Obligor, as the case may be, and shall be aggregated and combined for such purposes with any of its Subsidiaries that are Obligors.</w:t>
      </w:r>
    </w:p>
    <w:p>
      <w:pPr>
        <w:spacing w:after="0" w:line="197"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 Commitment</w:t>
      </w:r>
      <w:r>
        <w:rPr>
          <w:rFonts w:ascii="Times New Roman" w:cs="Times New Roman" w:eastAsia="Times New Roman" w:hAnsi="Times New Roman"/>
          <w:sz w:val="18"/>
          <w:szCs w:val="18"/>
          <w:color w:val="auto"/>
        </w:rPr>
        <w:t>” means with respect to any Purchaser Group the aggregate of the Commitments of each Purchaser within such Purchaser Group.</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I-16</w:t>
      </w:r>
    </w:p>
    <w:p>
      <w:pPr>
        <w:sectPr>
          <w:pgSz w:w="11900" w:h="16838" w:orient="portrait"/>
          <w:cols w:equalWidth="0" w:num="1">
            <w:col w:w="10980"/>
          </w:cols>
          <w:pgMar w:left="440" w:top="270" w:right="479" w:bottom="1440" w:gutter="0" w:footer="0" w:header="0"/>
        </w:sectPr>
      </w:pPr>
    </w:p>
    <w:bookmarkStart w:id="229" w:name="page230"/>
    <w:bookmarkEnd w:id="229"/>
    <w:p>
      <w:pPr>
        <w:ind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Group D Obligor</w:t>
      </w:r>
      <w:r>
        <w:rPr>
          <w:rFonts w:ascii="Times New Roman" w:cs="Times New Roman" w:eastAsia="Times New Roman" w:hAnsi="Times New Roman"/>
          <w:sz w:val="17"/>
          <w:szCs w:val="17"/>
          <w:color w:val="auto"/>
        </w:rPr>
        <w:t xml:space="preserve">” means any Obligor that is not a Group A Obligor, Group B Obligor or Group C Obligor;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any Obligor (or its parent or majority owner, as applicable, if such Obligor is unrated) that is not rated by both Moody’s and Standard &amp; Poor’s shall be a Group D Obligor.</w:t>
      </w:r>
    </w:p>
    <w:p>
      <w:pPr>
        <w:spacing w:after="0" w:line="140"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 Investment</w:t>
      </w:r>
      <w:r>
        <w:rPr>
          <w:rFonts w:ascii="Times New Roman" w:cs="Times New Roman" w:eastAsia="Times New Roman" w:hAnsi="Times New Roman"/>
          <w:sz w:val="18"/>
          <w:szCs w:val="18"/>
          <w:color w:val="auto"/>
        </w:rPr>
        <w:t>” means with respect to any Purchaser Group, an amount equal to the aggregate of all Investments of the Purchasers within such Purchaser Group.</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means WESCO International, Inc., a Delaware corporation.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Amounts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Director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paragraph 3(c)</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Exhibit IV</w:t>
      </w:r>
      <w:r>
        <w:rPr>
          <w:rFonts w:ascii="Times New Roman" w:cs="Times New Roman" w:eastAsia="Times New Roman" w:hAnsi="Times New Roman"/>
          <w:sz w:val="18"/>
          <w:szCs w:val="18"/>
          <w:color w:val="auto"/>
        </w:rPr>
        <w:t xml:space="preserve">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Ineligible Subject Originator Receivables</w:t>
      </w:r>
      <w:r>
        <w:rPr>
          <w:rFonts w:ascii="Times New Roman" w:cs="Times New Roman" w:eastAsia="Times New Roman" w:hAnsi="Times New Roman"/>
          <w:sz w:val="18"/>
          <w:szCs w:val="18"/>
          <w:color w:val="auto"/>
        </w:rPr>
        <w:t>” means Receivables of a Subject Originator designated as ineligible.</w:t>
      </w:r>
    </w:p>
    <w:p>
      <w:pPr>
        <w:spacing w:after="0" w:line="225"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 Package</w:t>
      </w:r>
      <w:r>
        <w:rPr>
          <w:rFonts w:ascii="Times New Roman" w:cs="Times New Roman" w:eastAsia="Times New Roman" w:hAnsi="Times New Roman"/>
          <w:sz w:val="18"/>
          <w:szCs w:val="18"/>
          <w:color w:val="auto"/>
        </w:rPr>
        <w:t xml:space="preserve">” means a report, in substantially the form of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this Agreement, furnished to the Administrator pursuant to this Agreement.</w:t>
      </w:r>
    </w:p>
    <w:p>
      <w:pPr>
        <w:spacing w:after="0" w:line="16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Insolvency Proceeding</w:t>
      </w:r>
      <w:r>
        <w:rPr>
          <w:rFonts w:ascii="Times New Roman" w:cs="Times New Roman" w:eastAsia="Times New Roman" w:hAnsi="Times New Roman"/>
          <w:sz w:val="18"/>
          <w:szCs w:val="18"/>
          <w:color w:val="auto"/>
        </w:rPr>
        <w:t>” means: (a) any case, action or proceeding before any court or other Governmental Authority relating to bankruptcy, reorganization, insolvency, liquidation, receivership, dissolution, winding-up or relief of debtors, or (b) any general assignment for the benefit of creditors, composition, marshaling of assets for creditors, or other, similar arrangement in respect of its creditors generally or any substantial portion of its creditors, in each case undertaken under U.S. Federal, state or foreign law, including the Bankruptcy Code.</w:t>
      </w:r>
    </w:p>
    <w:p>
      <w:pPr>
        <w:spacing w:after="0" w:line="180"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 means that certain Intercreditor Agreement, dated on or about the date hereof, by and among the Administrator, as receivables agent, Barclays Bank PLC, as ABL lenders agent, WESCO, the Seller, and the other Persons party thereto, as amended, restated, supplemented or otherwise modified from time to time.</w:t>
      </w:r>
    </w:p>
    <w:p>
      <w:pPr>
        <w:spacing w:after="0" w:line="176"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Internal Revenue Code</w:t>
      </w:r>
      <w:r>
        <w:rPr>
          <w:rFonts w:ascii="Times New Roman" w:cs="Times New Roman" w:eastAsia="Times New Roman" w:hAnsi="Times New Roman"/>
          <w:sz w:val="18"/>
          <w:szCs w:val="18"/>
          <w:color w:val="auto"/>
        </w:rPr>
        <w:t>” means the Internal Revenue Code of 1986, as amended from time to time, and any successor statute of similar import, together with the regulations thereunder, in each case as in effect from time to time. References to sections of the Internal Revenue Code also refer to any successor sections.</w:t>
      </w:r>
    </w:p>
    <w:p>
      <w:pPr>
        <w:spacing w:after="0" w:line="176"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u w:val="single" w:color="auto"/>
          <w:color w:val="0000FF"/>
        </w:rPr>
        <w:t>“International Trade Laws” means all Laws relating to economic and financial sanctions, trade embargoes, export controls, customs and anti-boycott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-151130</wp:posOffset>
            </wp:positionV>
            <wp:extent cx="644652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4465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82296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4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xml:space="preserve">” means with respect to any Purchaser the amount paid to the Seller by such Purchaser pursuant to this Agreement as reduced from time to time by Collections distributed and applied on account of such Investment pursuant to </w:t>
      </w:r>
      <w:r>
        <w:rPr>
          <w:rFonts w:ascii="Times New Roman" w:cs="Times New Roman" w:eastAsia="Times New Roman" w:hAnsi="Times New Roman"/>
          <w:sz w:val="18"/>
          <w:szCs w:val="18"/>
          <w:u w:val="single" w:color="auto"/>
          <w:color w:val="auto"/>
        </w:rPr>
        <w:t>Section 1.4(d)</w:t>
      </w:r>
      <w:r>
        <w:rPr>
          <w:rFonts w:ascii="Times New Roman" w:cs="Times New Roman" w:eastAsia="Times New Roman" w:hAnsi="Times New Roman"/>
          <w:sz w:val="18"/>
          <w:szCs w:val="18"/>
          <w:color w:val="auto"/>
        </w:rPr>
        <w:t xml:space="preserv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such Investment shall have been reduced by any distribution and thereafter all or a portion of such distribution is rescinded or must otherwise be returned for any reason, such Investment shall be increased by the amount of such rescinded or returned distribution as though it had not been made.</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I-17</w:t>
      </w:r>
    </w:p>
    <w:p>
      <w:pPr>
        <w:sectPr>
          <w:pgSz w:w="11900" w:h="16838" w:orient="portrait"/>
          <w:cols w:equalWidth="0" w:num="1">
            <w:col w:w="10960"/>
          </w:cols>
          <w:pgMar w:left="440" w:top="270" w:right="499" w:bottom="1440" w:gutter="0" w:footer="0" w:header="0"/>
        </w:sectPr>
      </w:pPr>
    </w:p>
    <w:bookmarkStart w:id="230" w:name="page231"/>
    <w:bookmarkEnd w:id="230"/>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Joinder Conditions</w:t>
      </w:r>
      <w:r>
        <w:rPr>
          <w:rFonts w:ascii="Times New Roman" w:cs="Times New Roman" w:eastAsia="Times New Roman" w:hAnsi="Times New Roman"/>
          <w:sz w:val="18"/>
          <w:szCs w:val="18"/>
          <w:color w:val="auto"/>
        </w:rPr>
        <w:t xml:space="preserve">” means (i) such proposed additional Subject Originator shall have delivered to the Administrator each of the documents with respect to such Originator described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of the Sale Agreement, in each case in form and substance reasonably satisfactory to the Administrator (it being agreed that the forms previously delivered to the Administrator are satisfactory), (ii) the aggregate Outstanding Balance of all Receivables of such Subject Originator plus the aggregate Outstanding Balance of all Receivables of each other Subject Originator joined to the Sale Agreement pursuant to an amendment not consented to by the Majority Purchasers during such calendar year do not exceed 15.0% of the aggregate Outstanding Balance of all Receivables then in the Receivables Pool, (iii) no Purchase and Sale Termination Event or Unmatured Purchase and Sale Termination Event shall have occurred and be continuing and (iv) no Termination Event or an Unmatured Termination Event shall have occurred and be continuing.</w:t>
      </w:r>
    </w:p>
    <w:p>
      <w:pPr>
        <w:spacing w:after="0" w:line="192"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law(s) (including common law), constitution, statute, treaty, regulation, rule, ordinance, opinion, issued guidance, release, ruling, order, executive order, injunction, writ, decree, bond, judgment, authorization or approval, lien or award of or any settlement arrangement, by agreement, consent or otherwise, with any Governmental Authority, foreign or domestic.</w:t>
      </w:r>
    </w:p>
    <w:p>
      <w:pPr>
        <w:spacing w:after="0" w:line="176"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LCR Security</w:t>
      </w:r>
      <w:r>
        <w:rPr>
          <w:rFonts w:ascii="Times New Roman" w:cs="Times New Roman" w:eastAsia="Times New Roman" w:hAnsi="Times New Roman"/>
          <w:sz w:val="18"/>
          <w:szCs w:val="18"/>
          <w:color w:val="auto"/>
        </w:rPr>
        <w:t>” means any commercial paper or security (other than equity securities issued to WESCO or any Originator that is a consolidated subsidiary of WESCO under GAAP) within the meaning of Paragraph __.32(e)(viii) of the final rules titled Liquidity Coverage Ratio: Liquidity Risk Measurement Standards, 79 Fed. Reg. 197, 61440 et seq. (October 10, 2014).</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Liberty Street</w:t>
      </w:r>
      <w:r>
        <w:rPr>
          <w:rFonts w:ascii="Times New Roman" w:cs="Times New Roman" w:eastAsia="Times New Roman" w:hAnsi="Times New Roman"/>
          <w:sz w:val="18"/>
          <w:szCs w:val="18"/>
          <w:color w:val="auto"/>
        </w:rPr>
        <w:t>” means Liberty Street Funding LLC.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Liquidity Agent</w:t>
      </w:r>
      <w:r>
        <w:rPr>
          <w:rFonts w:ascii="Times New Roman" w:cs="Times New Roman" w:eastAsia="Times New Roman" w:hAnsi="Times New Roman"/>
          <w:sz w:val="18"/>
          <w:szCs w:val="18"/>
          <w:color w:val="auto"/>
        </w:rPr>
        <w:t>” means each of the banks acting or other Persons as agent for the various Liquidity Banks under each Liquidity Agreement.</w:t>
      </w:r>
    </w:p>
    <w:p>
      <w:pPr>
        <w:spacing w:after="0" w:line="225" w:lineRule="exact"/>
        <w:rPr>
          <w:sz w:val="20"/>
          <w:szCs w:val="20"/>
          <w:color w:val="auto"/>
        </w:rPr>
      </w:pPr>
    </w:p>
    <w:p>
      <w:pPr>
        <w:jc w:val="both"/>
        <w:ind w:right="24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Liquidity Agreement</w:t>
      </w:r>
      <w:r>
        <w:rPr>
          <w:rFonts w:ascii="Times New Roman" w:cs="Times New Roman" w:eastAsia="Times New Roman" w:hAnsi="Times New Roman"/>
          <w:sz w:val="17"/>
          <w:szCs w:val="17"/>
          <w:color w:val="auto"/>
        </w:rPr>
        <w:t>” means any agreement entered into in connection with this Agreement pursuant to which a Liquidity Provider agrees to make purchases or advances to, or purchase assets from, any Conduit Purchaser in order to provide liquidity for such Conduit Purchaser’s Purchases.</w:t>
      </w:r>
    </w:p>
    <w:p>
      <w:pPr>
        <w:spacing w:after="0" w:line="140"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Liquidity Provider</w:t>
      </w:r>
      <w:r>
        <w:rPr>
          <w:rFonts w:ascii="Times New Roman" w:cs="Times New Roman" w:eastAsia="Times New Roman" w:hAnsi="Times New Roman"/>
          <w:sz w:val="18"/>
          <w:szCs w:val="18"/>
          <w:color w:val="auto"/>
        </w:rPr>
        <w:t>” means each bank or other financial institution that provides liquidity support to any Conduit Purchaser pursuant to the terms of a Liquidity Agreement.</w:t>
      </w:r>
    </w:p>
    <w:p>
      <w:pPr>
        <w:spacing w:after="0" w:line="16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Lock-Box Account</w:t>
      </w:r>
      <w:r>
        <w:rPr>
          <w:rFonts w:ascii="Times New Roman" w:cs="Times New Roman" w:eastAsia="Times New Roman" w:hAnsi="Times New Roman"/>
          <w:sz w:val="18"/>
          <w:szCs w:val="18"/>
          <w:color w:val="auto"/>
        </w:rPr>
        <w:t>” means an account maintained in the name of the Seller (or solely with respect to any Exception Account, in the name of the Seller or an Originator) at a bank or other financial institution for the purpose of receiving Collections.</w:t>
      </w:r>
    </w:p>
    <w:p>
      <w:pPr>
        <w:spacing w:after="0" w:line="162"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Lock-Box Agreement</w:t>
      </w:r>
      <w:r>
        <w:rPr>
          <w:rFonts w:ascii="Times New Roman" w:cs="Times New Roman" w:eastAsia="Times New Roman" w:hAnsi="Times New Roman"/>
          <w:sz w:val="18"/>
          <w:szCs w:val="18"/>
          <w:color w:val="auto"/>
        </w:rPr>
        <w:t>” means an agreement among the Seller, the Servicer, a Lock-Box Bank and the Administrator, for the benefit of the Purchasers, establishing “control” (as defined in Section 9-104 of the applicable UCC) of the Administrator in the Lock-Box Account(s) referenced therein.</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I-18</w:t>
      </w:r>
    </w:p>
    <w:p>
      <w:pPr>
        <w:sectPr>
          <w:pgSz w:w="11900" w:h="16838" w:orient="portrait"/>
          <w:cols w:equalWidth="0" w:num="1">
            <w:col w:w="10960"/>
          </w:cols>
          <w:pgMar w:left="440" w:top="270" w:right="499" w:bottom="1440" w:gutter="0" w:footer="0" w:header="0"/>
        </w:sectPr>
      </w:pPr>
    </w:p>
    <w:bookmarkStart w:id="231" w:name="page232"/>
    <w:bookmarkEnd w:id="23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Lock-Box Bank</w:t>
      </w:r>
      <w:r>
        <w:rPr>
          <w:rFonts w:ascii="Times New Roman" w:cs="Times New Roman" w:eastAsia="Times New Roman" w:hAnsi="Times New Roman"/>
          <w:sz w:val="18"/>
          <w:szCs w:val="18"/>
          <w:color w:val="auto"/>
        </w:rPr>
        <w:t>” means any of the banks or other financial institutions holding one or more Lock-Box Accounts.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Lock-Box Rights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Lock-Box Schedule Letter Agreement</w:t>
      </w:r>
      <w:r>
        <w:rPr>
          <w:rFonts w:ascii="Times New Roman" w:cs="Times New Roman" w:eastAsia="Times New Roman" w:hAnsi="Times New Roman"/>
          <w:sz w:val="18"/>
          <w:szCs w:val="18"/>
          <w:color w:val="auto"/>
        </w:rPr>
        <w:t>” means that certain letter agreement, dated as of December 16, 2010 and as amended, restated, amended and restated, supplemented or otherwise modified or replaced from time to time, among the Seller, the Servicer, the Administrator and each of the Purchasers and Purchaser Agents party thereto, as amended.</w:t>
      </w:r>
    </w:p>
    <w:p>
      <w:pPr>
        <w:spacing w:after="0" w:line="176"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 Reserve</w:t>
      </w:r>
      <w:r>
        <w:rPr>
          <w:rFonts w:ascii="Times New Roman" w:cs="Times New Roman" w:eastAsia="Times New Roman" w:hAnsi="Times New Roman"/>
          <w:sz w:val="18"/>
          <w:szCs w:val="18"/>
          <w:color w:val="auto"/>
        </w:rPr>
        <w:t>” means, on any date, an amount equal to (i) the aggregate of the Investment of all Purchasers set forth in the definition thereof at the close of business of the Servicer on such date multiplied by (ii)(A) the Loss Reserve Percentage on such date divided by (B) 100% minus the Loss Reserve Percentage on such date.</w:t>
      </w:r>
    </w:p>
    <w:p>
      <w:pPr>
        <w:spacing w:after="0" w:line="176"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 Reserve Percentage</w:t>
      </w:r>
      <w:r>
        <w:rPr>
          <w:rFonts w:ascii="Times New Roman" w:cs="Times New Roman" w:eastAsia="Times New Roman" w:hAnsi="Times New Roman"/>
          <w:sz w:val="18"/>
          <w:szCs w:val="18"/>
          <w:color w:val="auto"/>
        </w:rPr>
        <w:t>” means, on any date, (i) the product of (A) 2.00 times the highest average of the Default Ratios for any three consecutive calendar months during the twelve most recent calendar months multiplied by (B) the sum of (x) the aggregate credit sales made by the Originators during the four most recent calendar months and (y) the product of 0.125 and the aggregate credit sales made by the Originators during the fifth most recent calendar month, divided by (ii) the Adjusted Net Receivables Pool Balance as of such date.</w:t>
      </w:r>
    </w:p>
    <w:p>
      <w:pPr>
        <w:spacing w:after="0" w:line="18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Majority Purchasers</w:t>
      </w:r>
      <w:r>
        <w:rPr>
          <w:rFonts w:ascii="Times New Roman" w:cs="Times New Roman" w:eastAsia="Times New Roman" w:hAnsi="Times New Roman"/>
          <w:sz w:val="18"/>
          <w:szCs w:val="18"/>
          <w:color w:val="auto"/>
        </w:rPr>
        <w:t xml:space="preserve">” means, at any time, Purchasers whose Commitments aggregate more than 66.67% of the aggregate of the Commitments of all Purchasers;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so long as any Purchaser’s Commitment is greater than 66.67% of the aggregate Commitments, then “Majority Purchasers” shall mean a minimum of two Purchasers whose Commitments aggregate more than 66.67% of the aggregate Commitments.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relative to any Person with respect to any event or circumstance, a material adverse effect on:</w:t>
      </w:r>
    </w:p>
    <w:p>
      <w:pPr>
        <w:spacing w:after="0" w:line="117" w:lineRule="exact"/>
        <w:rPr>
          <w:sz w:val="20"/>
          <w:szCs w:val="20"/>
          <w:color w:val="auto"/>
        </w:rPr>
      </w:pPr>
    </w:p>
    <w:p>
      <w:pPr>
        <w:ind w:left="1100" w:hanging="241"/>
        <w:spacing w:after="0"/>
        <w:tabs>
          <w:tab w:leader="none" w:pos="110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assets, operations, business or financial condition of such Person,</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any of such Person to perform its obligations under this Agreement or any other Transaction Document to which it is a</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party,</w:t>
      </w:r>
    </w:p>
    <w:p>
      <w:pPr>
        <w:spacing w:after="0" w:line="99" w:lineRule="exact"/>
        <w:rPr>
          <w:sz w:val="20"/>
          <w:szCs w:val="20"/>
          <w:color w:val="auto"/>
        </w:rPr>
      </w:pPr>
    </w:p>
    <w:p>
      <w:pPr>
        <w:ind w:left="440" w:right="120" w:firstLine="419"/>
        <w:spacing w:after="0" w:line="282" w:lineRule="auto"/>
        <w:tabs>
          <w:tab w:leader="none" w:pos="1108"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validity or enforceability of any other Transaction Document, or the validity, enforceability or collectibility of a material portion of the Pool Receivables, or</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perfection, enforceability or priority of any Purchaser’s or the Seller’s interest in the Pool Assets.</w:t>
      </w:r>
    </w:p>
    <w:p>
      <w:pPr>
        <w:spacing w:after="0" w:line="225"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Incremental Purchase</w:t>
      </w:r>
      <w:r>
        <w:rPr>
          <w:rFonts w:ascii="Times New Roman" w:cs="Times New Roman" w:eastAsia="Times New Roman" w:hAnsi="Times New Roman"/>
          <w:sz w:val="18"/>
          <w:szCs w:val="18"/>
          <w:color w:val="auto"/>
        </w:rPr>
        <w:t>” means, on any date, the additional incremental increase in the Aggregate Investment that would cause the Aggregate Investment plus the Total Reserves to equal the Net Receivables Pool Balance.</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I-19</w:t>
      </w:r>
    </w:p>
    <w:p>
      <w:pPr>
        <w:sectPr>
          <w:pgSz w:w="11900" w:h="16838" w:orient="portrait"/>
          <w:cols w:equalWidth="0" w:num="1">
            <w:col w:w="10920"/>
          </w:cols>
          <w:pgMar w:left="440" w:top="270" w:right="539" w:bottom="1440" w:gutter="0" w:footer="0" w:header="0"/>
        </w:sectPr>
      </w:pPr>
    </w:p>
    <w:bookmarkStart w:id="232" w:name="page233"/>
    <w:bookmarkEnd w:id="232"/>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Minimum Dilution Reserve</w:t>
      </w:r>
      <w:r>
        <w:rPr>
          <w:rFonts w:ascii="Times New Roman" w:cs="Times New Roman" w:eastAsia="Times New Roman" w:hAnsi="Times New Roman"/>
          <w:sz w:val="18"/>
          <w:szCs w:val="18"/>
          <w:color w:val="auto"/>
        </w:rPr>
        <w:t xml:space="preserve">” means, on any date, an amount equal to: (a) the Aggregate Investment on such date,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(b) (i) the Minimum Dilution Reserve Percentage on such date,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(ii) 100% minus the Minimum Dilution Reserve Percentage on such date.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Dilution Reserve Percentage</w:t>
      </w:r>
      <w:r>
        <w:rPr>
          <w:rFonts w:ascii="Times New Roman" w:cs="Times New Roman" w:eastAsia="Times New Roman" w:hAnsi="Times New Roman"/>
          <w:sz w:val="18"/>
          <w:szCs w:val="18"/>
          <w:color w:val="auto"/>
        </w:rPr>
        <w:t xml:space="preserve">” means, on any date, the product of (i) Adjusted Dilution Ratio,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(ii) the Dilution Horizon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Ratio.</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w:t>
      </w:r>
    </w:p>
    <w:p>
      <w:pPr>
        <w:spacing w:after="0" w:line="225"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Receivables Pool Balance</w:t>
      </w:r>
      <w:r>
        <w:rPr>
          <w:rFonts w:ascii="Times New Roman" w:cs="Times New Roman" w:eastAsia="Times New Roman" w:hAnsi="Times New Roman"/>
          <w:sz w:val="18"/>
          <w:szCs w:val="18"/>
          <w:color w:val="auto"/>
        </w:rPr>
        <w:t>” means, at any time: (a) the Outstanding Balance of Eligible Receivables then in the Receivables Pool minus (b) the Excess Concentration.</w:t>
      </w:r>
    </w:p>
    <w:p>
      <w:pPr>
        <w:spacing w:after="0" w:line="16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Originators</w:t>
      </w:r>
      <w:r>
        <w:rPr>
          <w:rFonts w:ascii="Times New Roman" w:cs="Times New Roman" w:eastAsia="Times New Roman" w:hAnsi="Times New Roman"/>
          <w:sz w:val="18"/>
          <w:szCs w:val="18"/>
          <w:color w:val="auto"/>
        </w:rPr>
        <w:t>” means each of (i) ANIXTER INC., a Delaware corporation, (ii) ACCU-TECH CORPORATION, a Georgia corporation, and (iii) ANIXTER POWER SOLUTIONS INC., a Michigan corporation.</w:t>
      </w:r>
    </w:p>
    <w:p>
      <w:pPr>
        <w:spacing w:after="0" w:line="162"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Normal Concentration Percentage</w:t>
      </w:r>
      <w:r>
        <w:rPr>
          <w:rFonts w:ascii="Times New Roman" w:cs="Times New Roman" w:eastAsia="Times New Roman" w:hAnsi="Times New Roman"/>
          <w:sz w:val="18"/>
          <w:szCs w:val="18"/>
          <w:color w:val="auto"/>
        </w:rPr>
        <w:t>” means, (i) for any Group A Obligor, 12.0%, (ii) for any Group B Obligor, 9.0%, (iii) for any Group C Obligor, 6.0% and (iv) for any Group D Obligor, 3.0%</w:t>
      </w:r>
    </w:p>
    <w:p>
      <w:pPr>
        <w:spacing w:after="0" w:line="162" w:lineRule="exact"/>
        <w:rPr>
          <w:sz w:val="20"/>
          <w:szCs w:val="20"/>
          <w:color w:val="auto"/>
        </w:rPr>
      </w:pPr>
    </w:p>
    <w:p>
      <w:pPr>
        <w:jc w:val="both"/>
        <w:ind w:right="28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Notes</w:t>
      </w:r>
      <w:r>
        <w:rPr>
          <w:rFonts w:ascii="Times New Roman" w:cs="Times New Roman" w:eastAsia="Times New Roman" w:hAnsi="Times New Roman"/>
          <w:sz w:val="17"/>
          <w:szCs w:val="17"/>
          <w:color w:val="auto"/>
        </w:rPr>
        <w:t>” means short-term promissory notes issued, or to be issued, by each Conduit Purchaser (or, if applicable, issued by the funding source pursuant to which such Conduit Purchaser finances its Investment hereunder) to fund its investments in accounts receivable or other financial assets.</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Obligor</w:t>
      </w:r>
      <w:r>
        <w:rPr>
          <w:rFonts w:ascii="Times New Roman" w:cs="Times New Roman" w:eastAsia="Times New Roman" w:hAnsi="Times New Roman"/>
          <w:sz w:val="18"/>
          <w:szCs w:val="18"/>
          <w:color w:val="auto"/>
        </w:rPr>
        <w:t>” means, with respect to any Receivable, the Person obligated to make payments pursuant to the Contract relating to such Receivable.</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Obligor Percentage</w:t>
      </w:r>
      <w:r>
        <w:rPr>
          <w:rFonts w:ascii="Times New Roman" w:cs="Times New Roman" w:eastAsia="Times New Roman" w:hAnsi="Times New Roman"/>
          <w:sz w:val="18"/>
          <w:szCs w:val="18"/>
          <w:color w:val="auto"/>
        </w:rPr>
        <w:t>” means, at any time of determination, for each Obligor, a fraction, expressed as a percentage, (a) the numerator of which is the aggregate Outstanding Balance of the Eligible Receivables of such Obligor and its Affiliates less the amount (if any) then included in the calculation of the Excess Concentration with respect to such Obligor and its Affiliates and (b) the denominator of which is the aggregate Outstanding Balance of all Eligible Receivables at such time.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U.S. Department of Treasury’s Office of Foreign Assets Control.</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Agreement</w:t>
      </w:r>
      <w:r>
        <w:rPr>
          <w:rFonts w:ascii="Times New Roman" w:cs="Times New Roman" w:eastAsia="Times New Roman" w:hAnsi="Times New Roman"/>
          <w:sz w:val="18"/>
          <w:szCs w:val="18"/>
          <w:color w:val="auto"/>
        </w:rPr>
        <w:t>” has the meaning set forth in the preliminary statements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Originator</w:t>
      </w:r>
      <w:r>
        <w:rPr>
          <w:rFonts w:ascii="Times New Roman" w:cs="Times New Roman" w:eastAsia="Times New Roman" w:hAnsi="Times New Roman"/>
          <w:sz w:val="18"/>
          <w:szCs w:val="18"/>
          <w:color w:val="auto"/>
        </w:rPr>
        <w:t>” has the meaning set forth in the Sale Agreement.</w:t>
      </w:r>
    </w:p>
    <w:p>
      <w:pPr>
        <w:spacing w:after="0" w:line="225"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Originator Assignment Certificate</w:t>
      </w:r>
      <w:r>
        <w:rPr>
          <w:rFonts w:ascii="Times New Roman" w:cs="Times New Roman" w:eastAsia="Times New Roman" w:hAnsi="Times New Roman"/>
          <w:sz w:val="18"/>
          <w:szCs w:val="18"/>
          <w:color w:val="auto"/>
        </w:rPr>
        <w:t xml:space="preserve">” means each assignment, in substantially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to the Sale Agreement, evidencing Seller’s ownership of the Receivables generated by Originator, as the same may be amended, supplemented, amended and restated, or otherwise modified from time to time in accordance with the Sale Agreement.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I-20</w:t>
      </w:r>
    </w:p>
    <w:p>
      <w:pPr>
        <w:sectPr>
          <w:pgSz w:w="11900" w:h="16838" w:orient="portrait"/>
          <w:cols w:equalWidth="0" w:num="1">
            <w:col w:w="10960"/>
          </w:cols>
          <w:pgMar w:left="440" w:top="270" w:right="499" w:bottom="1440" w:gutter="0" w:footer="0" w:header="0"/>
        </w:sectPr>
      </w:pPr>
    </w:p>
    <w:bookmarkStart w:id="233" w:name="page234"/>
    <w:bookmarkEnd w:id="233"/>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Outstanding Balance</w:t>
      </w:r>
      <w:r>
        <w:rPr>
          <w:rFonts w:ascii="Times New Roman" w:cs="Times New Roman" w:eastAsia="Times New Roman" w:hAnsi="Times New Roman"/>
          <w:sz w:val="18"/>
          <w:szCs w:val="18"/>
          <w:color w:val="auto"/>
        </w:rPr>
        <w:t>” of any Receivable at any time means the then outstanding principal balance thereof.</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Bank Funding Rate</w:t>
      </w:r>
      <w:r>
        <w:rPr>
          <w:rFonts w:ascii="Times New Roman" w:cs="Times New Roman" w:eastAsia="Times New Roman" w:hAnsi="Times New Roman"/>
          <w:sz w:val="18"/>
          <w:szCs w:val="18"/>
          <w:color w:val="auto"/>
        </w:rPr>
        <w:t>” means for any day, the rate comprised of both overnight federal funds and overnight eurocurrency borrowings by</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U.S.-managed banking offices of depository institutions, as such composite rate shall be determined by the Federal Reserve Bank of New York</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w:t>
      </w:r>
      <w:r>
        <w:rPr>
          <w:rFonts w:ascii="Times New Roman" w:cs="Times New Roman" w:eastAsia="Times New Roman" w:hAnsi="Times New Roman"/>
          <w:sz w:val="18"/>
          <w:szCs w:val="18"/>
          <w:color w:val="auto"/>
        </w:rPr>
        <w:t>”), as set forth on its public website from time to time, and as published on the next succeeding Business Day as the overnight bank funding</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rate by the NYFRB (or by such other recognized electronic source (such as Bloomberg) selected by the Administrator for the purpose of displaying such</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such day is not a Business Day, the Overnight Bank Funding Rate for such day shall be such rate on the immediately preceding</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such rate shall at any time, for any reason, no longer exist, a comparable replacement rate determined by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Administrator at such time (which determination shall be conclusive absent manifest error). If the Overnight Bank Funding Rate determined as above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would be less than 0.00%, then such rate shall be deemed to be 0.00%. The rate of interest charged shall be adjusted as of each Business Day based 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changes in the Overnight Bank Funding Rate without notice to the Seller.</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of the Sale Agreement.</w:t>
      </w:r>
    </w:p>
    <w:p>
      <w:pPr>
        <w:spacing w:after="0" w:line="225" w:lineRule="exact"/>
        <w:rPr>
          <w:sz w:val="20"/>
          <w:szCs w:val="20"/>
          <w:color w:val="auto"/>
        </w:rPr>
      </w:pPr>
    </w:p>
    <w:p>
      <w:pPr>
        <w:ind w:left="4"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partnership, corporation (including a business trust), joint stock company, trust, unincorporated association, joint venture, limited liability company or other entity, or a government or any political subdivision or agency thereof.</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PNC</w:t>
      </w:r>
      <w:r>
        <w:rPr>
          <w:rFonts w:ascii="Times New Roman" w:cs="Times New Roman" w:eastAsia="Times New Roman" w:hAnsi="Times New Roman"/>
          <w:sz w:val="18"/>
          <w:szCs w:val="18"/>
          <w:color w:val="auto"/>
        </w:rPr>
        <w:t>” means PNC Bank, National Association.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Pool Assets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1.2(d)</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Pool Receivable</w:t>
      </w:r>
      <w:r>
        <w:rPr>
          <w:rFonts w:ascii="Times New Roman" w:cs="Times New Roman" w:eastAsia="Times New Roman" w:hAnsi="Times New Roman"/>
          <w:sz w:val="18"/>
          <w:szCs w:val="18"/>
          <w:color w:val="auto"/>
        </w:rPr>
        <w:t>” means a Receivable in the Receivables Pool.</w:t>
      </w:r>
    </w:p>
    <w:p>
      <w:pPr>
        <w:spacing w:after="0" w:line="225" w:lineRule="exact"/>
        <w:rPr>
          <w:sz w:val="20"/>
          <w:szCs w:val="20"/>
          <w:color w:val="auto"/>
        </w:rPr>
      </w:pPr>
    </w:p>
    <w:p>
      <w:pPr>
        <w:ind w:left="4" w:right="48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Portion of Investment</w:t>
      </w:r>
      <w:r>
        <w:rPr>
          <w:rFonts w:ascii="Times New Roman" w:cs="Times New Roman" w:eastAsia="Times New Roman" w:hAnsi="Times New Roman"/>
          <w:sz w:val="17"/>
          <w:szCs w:val="17"/>
          <w:color w:val="auto"/>
        </w:rPr>
        <w:t xml:space="preserve">” means specified portions of Investments outstanding as follows: (a) any Investments to which a SOFR Rate Option applies under the same Purchase Notice by the Seller and which have the same Yield Period shall constitute one Portion of </w:t>
      </w:r>
      <w:r>
        <w:rPr>
          <w:rFonts w:ascii="Times New Roman" w:cs="Times New Roman" w:eastAsia="Times New Roman" w:hAnsi="Times New Roman"/>
          <w:sz w:val="17"/>
          <w:szCs w:val="17"/>
          <w:color w:val="FF0000"/>
          <w:strike w:val="1"/>
        </w:rPr>
        <w:t>Capital</w:t>
      </w:r>
      <w:r>
        <w:rPr>
          <w:rFonts w:ascii="Times New Roman" w:cs="Times New Roman" w:eastAsia="Times New Roman" w:hAnsi="Times New Roman"/>
          <w:sz w:val="17"/>
          <w:szCs w:val="17"/>
          <w:u w:val="single" w:color="auto"/>
          <w:color w:val="0000FF"/>
        </w:rPr>
        <w:t>Investment</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left="4" w:right="240" w:hanging="4"/>
        <w:spacing w:after="0" w:line="255" w:lineRule="auto"/>
        <w:tabs>
          <w:tab w:leader="none" w:pos="259"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F0000"/>
          <w:strike w:val="1"/>
        </w:rPr>
        <w:t>[reserved]</w:t>
      </w:r>
      <w:r>
        <w:rPr>
          <w:rFonts w:ascii="Times New Roman" w:cs="Times New Roman" w:eastAsia="Times New Roman" w:hAnsi="Times New Roman"/>
          <w:sz w:val="18"/>
          <w:szCs w:val="18"/>
          <w:u w:val="single" w:color="auto"/>
          <w:color w:val="0000FF"/>
        </w:rPr>
        <w:t>all CP Rate Investments shall constitute one Portion of Investment</w:t>
      </w:r>
      <w:r>
        <w:rPr>
          <w:rFonts w:ascii="Times New Roman" w:cs="Times New Roman" w:eastAsia="Times New Roman" w:hAnsi="Times New Roman"/>
          <w:sz w:val="18"/>
          <w:szCs w:val="18"/>
          <w:color w:val="000000"/>
        </w:rPr>
        <w:t>, (c) all Investments to which a Daily Resetting SOFR Option applies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shall constitute one Portion of </w:t>
      </w:r>
      <w:r>
        <w:rPr>
          <w:rFonts w:ascii="Times New Roman" w:cs="Times New Roman" w:eastAsia="Times New Roman" w:hAnsi="Times New Roman"/>
          <w:sz w:val="18"/>
          <w:szCs w:val="18"/>
          <w:color w:val="FF0000"/>
          <w:strike w:val="1"/>
        </w:rPr>
        <w:t>Capital</w:t>
      </w:r>
      <w:r>
        <w:rPr>
          <w:rFonts w:ascii="Times New Roman" w:cs="Times New Roman" w:eastAsia="Times New Roman" w:hAnsi="Times New Roman"/>
          <w:sz w:val="18"/>
          <w:szCs w:val="18"/>
          <w:u w:val="single" w:color="auto"/>
          <w:color w:val="0000FF"/>
        </w:rPr>
        <w:t>Investment</w:t>
      </w:r>
      <w:r>
        <w:rPr>
          <w:rFonts w:ascii="Times New Roman" w:cs="Times New Roman" w:eastAsia="Times New Roman" w:hAnsi="Times New Roman"/>
          <w:sz w:val="18"/>
          <w:szCs w:val="18"/>
          <w:color w:val="000000"/>
        </w:rPr>
        <w:t xml:space="preserve"> and (d) all Investments to which a Base Rate Option applies shall constitute one Portion of </w:t>
      </w:r>
      <w:r>
        <w:rPr>
          <w:rFonts w:ascii="Times New Roman" w:cs="Times New Roman" w:eastAsia="Times New Roman" w:hAnsi="Times New Roman"/>
          <w:sz w:val="18"/>
          <w:szCs w:val="18"/>
          <w:color w:val="FF0000"/>
          <w:strike w:val="1"/>
        </w:rPr>
        <w:t>Capital</w:t>
      </w:r>
      <w:r>
        <w:rPr>
          <w:rFonts w:ascii="Times New Roman" w:cs="Times New Roman" w:eastAsia="Times New Roman" w:hAnsi="Times New Roman"/>
          <w:sz w:val="18"/>
          <w:szCs w:val="18"/>
          <w:u w:val="single" w:color="auto"/>
          <w:color w:val="0000FF"/>
        </w:rPr>
        <w:t>Investment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5957570</wp:posOffset>
            </wp:positionH>
            <wp:positionV relativeFrom="paragraph">
              <wp:posOffset>-409575</wp:posOffset>
            </wp:positionV>
            <wp:extent cx="51435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-272415</wp:posOffset>
            </wp:positionV>
            <wp:extent cx="303466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034665" cy="8255"/>
                    </a:xfrm>
                    <a:prstGeom prst="rect">
                      <a:avLst/>
                    </a:prstGeom>
                    <a:noFill/>
                  </pic:spPr>
                </pic:pic>
              </a:graphicData>
            </a:graphic>
          </wp:anchor>
        </w:drawing>
        <w:drawing>
          <wp:anchor simplePos="0" relativeHeight="251657728" behindDoc="1" locked="0" layoutInCell="0" allowOverlap="1">
            <wp:simplePos x="0" y="0"/>
            <wp:positionH relativeFrom="column">
              <wp:posOffset>1731645</wp:posOffset>
            </wp:positionH>
            <wp:positionV relativeFrom="paragraph">
              <wp:posOffset>-135255</wp:posOffset>
            </wp:positionV>
            <wp:extent cx="50546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05460" cy="8255"/>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1270</wp:posOffset>
            </wp:positionV>
            <wp:extent cx="53975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39750" cy="8255"/>
                    </a:xfrm>
                    <a:prstGeom prst="rect">
                      <a:avLst/>
                    </a:prstGeom>
                    <a:noFill/>
                  </pic:spPr>
                </pic:pic>
              </a:graphicData>
            </a:graphic>
          </wp:anchor>
        </w:drawing>
      </w:r>
    </w:p>
    <w:p>
      <w:pPr>
        <w:spacing w:after="0" w:line="166"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Program Support Agreement</w:t>
      </w:r>
      <w:r>
        <w:rPr>
          <w:rFonts w:ascii="Times New Roman" w:cs="Times New Roman" w:eastAsia="Times New Roman" w:hAnsi="Times New Roman"/>
          <w:sz w:val="18"/>
          <w:szCs w:val="18"/>
          <w:color w:val="auto"/>
        </w:rPr>
        <w:t>” means and includes any Liquidity Agreement and any other agreement entered into by any Program Support Provider providing for: (a) the issuance of one or more letters of credit for the account of any Conduit Purchaser, (b) the issuance of one or more surety bonds for which the such Conduit Purchaser is obligated to reimburse the applicable Program Support Provider for any drawings thereunder, (c) the sale by such Conduit Purchaser to any Program Support Provider of the Purchased Interest (or portions thereof) maintained by such Conduit Purchaser and/or (d) the making of loans and/or other extensions of credit to any Conduit Purchaser in connection with such Conduit Purchaser’s securitization program contemplated in this Agreement, together with any letter of credit, surety bond or other instrument issued thereunder (but excluding any discretionary advance facility provided by the Administrator).</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I-21</w:t>
      </w:r>
    </w:p>
    <w:p>
      <w:pPr>
        <w:sectPr>
          <w:pgSz w:w="11900" w:h="16838" w:orient="portrait"/>
          <w:cols w:equalWidth="0" w:num="1">
            <w:col w:w="10984"/>
          </w:cols>
          <w:pgMar w:left="436" w:top="270" w:right="479" w:bottom="1440" w:gutter="0" w:footer="0" w:header="0"/>
        </w:sectPr>
      </w:pPr>
    </w:p>
    <w:bookmarkStart w:id="234" w:name="page235"/>
    <w:bookmarkEnd w:id="234"/>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Program Support Provider</w:t>
      </w:r>
      <w:r>
        <w:rPr>
          <w:rFonts w:ascii="Times New Roman" w:cs="Times New Roman" w:eastAsia="Times New Roman" w:hAnsi="Times New Roman"/>
          <w:sz w:val="18"/>
          <w:szCs w:val="18"/>
          <w:color w:val="auto"/>
        </w:rPr>
        <w:t>” means and includes with respect to each Conduit Purchaser any Liquidity Provider and any other Person (other than any customer of such Conduit Purchaser) now or hereafter extending credit or having a commitment to extend credit to or for the account of, or to make purchases from, such Conduit Purchaser pursuant to any Program Support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and Sale Indemnified Amounts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of the Sale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and Sale Indemnified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of the Sale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and Sale Termination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of the Sale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and Sale Termination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of the Sale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Date</w:t>
      </w:r>
      <w:r>
        <w:rPr>
          <w:rFonts w:ascii="Times New Roman" w:cs="Times New Roman" w:eastAsia="Times New Roman" w:hAnsi="Times New Roman"/>
          <w:sz w:val="18"/>
          <w:szCs w:val="18"/>
          <w:color w:val="auto"/>
        </w:rPr>
        <w:t>” means the date of which a Purchase or a reinvestment is made pursuant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Facility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of the Sale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Limit</w:t>
      </w:r>
      <w:r>
        <w:rPr>
          <w:rFonts w:ascii="Times New Roman" w:cs="Times New Roman" w:eastAsia="Times New Roman" w:hAnsi="Times New Roman"/>
          <w:sz w:val="18"/>
          <w:szCs w:val="18"/>
          <w:color w:val="auto"/>
        </w:rPr>
        <w:t>” means, at any time, the aggregate of all Group Commitments (which, on the Amendment Date, shall be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1,625,000,000</w:t>
      </w:r>
      <w:r>
        <w:rPr>
          <w:rFonts w:ascii="Times New Roman" w:cs="Times New Roman" w:eastAsia="Times New Roman" w:hAnsi="Times New Roman"/>
          <w:sz w:val="18"/>
          <w:szCs w:val="18"/>
          <w:u w:val="single" w:color="auto"/>
          <w:color w:val="0000FF"/>
        </w:rPr>
        <w:t>1,550,000,000</w:t>
      </w:r>
      <w:r>
        <w:rPr>
          <w:rFonts w:ascii="Times New Roman" w:cs="Times New Roman" w:eastAsia="Times New Roman" w:hAnsi="Times New Roman"/>
          <w:sz w:val="18"/>
          <w:szCs w:val="18"/>
          <w:color w:val="auto"/>
        </w:rPr>
        <w:t xml:space="preserve"> ), as such amount may be reduced pursuant to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xml:space="preserve"> of this Agreement or increased pursuant to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References to the unused portion of the Purchase Limit shall mean, at any time, the Purchase Limit minus the then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-121920</wp:posOffset>
            </wp:positionV>
            <wp:extent cx="65976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5976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Aggregate Investment.</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of the Sale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Report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of the Sale Agreement.</w:t>
      </w:r>
    </w:p>
    <w:p>
      <w:pPr>
        <w:spacing w:after="0" w:line="225"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Purchased Interest</w:t>
      </w:r>
      <w:r>
        <w:rPr>
          <w:rFonts w:ascii="Times New Roman" w:cs="Times New Roman" w:eastAsia="Times New Roman" w:hAnsi="Times New Roman"/>
          <w:sz w:val="18"/>
          <w:szCs w:val="18"/>
          <w:color w:val="auto"/>
        </w:rPr>
        <w:t>” means, at any time, the undivided percentage ownership interest in: (a) each and every Pool Receivable now existing or hereafter arising, (b) all Related Security with respect to such Pool Receivables and (c) all Collections with respect to, and other proceeds of, such Pool Receivables and Related Security. Such undivided percentage interest shall be computed as: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Aggregate Investment + Total Reserves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Net Receivables Pool Balance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The Purchased Interest shall be determined from time to time pursuant to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of this Agreement.</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I-22</w:t>
      </w:r>
    </w:p>
    <w:p>
      <w:pPr>
        <w:sectPr>
          <w:pgSz w:w="11900" w:h="16838" w:orient="portrait"/>
          <w:cols w:equalWidth="0" w:num="1">
            <w:col w:w="10940"/>
          </w:cols>
          <w:pgMar w:left="440" w:top="270" w:right="519" w:bottom="1440" w:gutter="0" w:footer="0" w:header="0"/>
        </w:sectPr>
      </w:pPr>
    </w:p>
    <w:bookmarkStart w:id="235" w:name="page236"/>
    <w:bookmarkEnd w:id="23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means each Conduit Purchaser and/or each Committed Purchaser, as applicable.</w:t>
      </w:r>
    </w:p>
    <w:p>
      <w:pPr>
        <w:spacing w:after="0" w:line="225"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Agent</w:t>
      </w:r>
      <w:r>
        <w:rPr>
          <w:rFonts w:ascii="Times New Roman" w:cs="Times New Roman" w:eastAsia="Times New Roman" w:hAnsi="Times New Roman"/>
          <w:sz w:val="18"/>
          <w:szCs w:val="18"/>
          <w:color w:val="auto"/>
        </w:rPr>
        <w:t>” means each Person acting as agent on behalf of a Purchaser Group and designated as a Purchaser Agent for such Purchaser Group on the signature pages to this Agreement or any other Person who becomes a party to this Agreement as a Purchaser Agent pursuant to an Assumption Agreement or a Transfer Supplement.</w:t>
      </w:r>
    </w:p>
    <w:p>
      <w:pPr>
        <w:spacing w:after="0" w:line="176"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Group</w:t>
      </w:r>
      <w:r>
        <w:rPr>
          <w:rFonts w:ascii="Times New Roman" w:cs="Times New Roman" w:eastAsia="Times New Roman" w:hAnsi="Times New Roman"/>
          <w:sz w:val="18"/>
          <w:szCs w:val="18"/>
          <w:color w:val="auto"/>
        </w:rPr>
        <w:t>” means, (i) for each Conduit Purchaser, such Conduit Purchaser, its Committed Purchasers (if any) and its related Purchaser Agent and (ii) for any Purchaser that does not have a related Conduit Purchaser, such Purchaser and its related Purchaser Agent.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Group Fee Letter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FF0000"/>
        </w:rPr>
        <w:t>Rahi Systems</w:t>
      </w:r>
      <w:r>
        <w:rPr>
          <w:rFonts w:ascii="Times New Roman" w:cs="Times New Roman" w:eastAsia="Times New Roman" w:hAnsi="Times New Roman"/>
          <w:sz w:val="18"/>
          <w:szCs w:val="18"/>
          <w:color w:val="FF0000"/>
        </w:rPr>
        <w:t>” means Rahi Systems Inc, a California corporation</w:t>
      </w:r>
      <w:r>
        <w:rPr>
          <w:rFonts w:ascii="Times New Roman" w:cs="Times New Roman" w:eastAsia="Times New Roman" w:hAnsi="Times New Roman"/>
          <w:sz w:val="18"/>
          <w:szCs w:val="18"/>
          <w:u w:val="single" w:color="auto"/>
          <w:color w:val="0000FF"/>
        </w:rPr>
        <w:t>Purchaser Party” means each Purchaser and the Administrator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-59055</wp:posOffset>
            </wp:positionV>
            <wp:extent cx="297942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979420" cy="8890"/>
                    </a:xfrm>
                    <a:prstGeom prst="rect">
                      <a:avLst/>
                    </a:prstGeom>
                    <a:noFill/>
                  </pic:spPr>
                </pic:pic>
              </a:graphicData>
            </a:graphic>
          </wp:anchor>
        </w:drawing>
        <w:drawing>
          <wp:anchor simplePos="0" relativeHeight="251657728" behindDoc="1" locked="0" layoutInCell="0" allowOverlap="1">
            <wp:simplePos x="0" y="0"/>
            <wp:positionH relativeFrom="column">
              <wp:posOffset>3306445</wp:posOffset>
            </wp:positionH>
            <wp:positionV relativeFrom="paragraph">
              <wp:posOffset>26035</wp:posOffset>
            </wp:positionV>
            <wp:extent cx="283718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20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Ratable Share</w:t>
      </w:r>
      <w:r>
        <w:rPr>
          <w:rFonts w:ascii="Times New Roman" w:cs="Times New Roman" w:eastAsia="Times New Roman" w:hAnsi="Times New Roman"/>
          <w:sz w:val="18"/>
          <w:szCs w:val="18"/>
          <w:color w:val="auto"/>
        </w:rPr>
        <w:t>” means, for each Purchaser Group, such Purchaser Group’s aggregate Commitments divided by the aggregate Commitments of all Purchaser Groups.</w:t>
      </w:r>
    </w:p>
    <w:p>
      <w:pPr>
        <w:spacing w:after="0" w:line="162"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w:t>
      </w:r>
      <w:r>
        <w:rPr>
          <w:rFonts w:ascii="Times New Roman" w:cs="Times New Roman" w:eastAsia="Times New Roman" w:hAnsi="Times New Roman"/>
          <w:sz w:val="18"/>
          <w:szCs w:val="18"/>
          <w:color w:val="auto"/>
        </w:rPr>
        <w:t>” means any indebtedness and other obligations (other than Excluded Receivables) owed to the Seller or any Originator by, or any right of the Seller or any Originator to payment from or on behalf of, an Obligor, whether constituting an account, chattel paper, instrument or general intangible, arising in connection with the sale of goods or the rendering of services by an Originator (whether or not earned by performance), and includes the obligation to pay any finance charges, fees and other charges with respect thereto. Indebtedness and other obligations arising from any one transaction, including indebtedness and other obligations represented by an individual invoice or agreement, shall constitute a Receivable separate from a Receivable consisting of the indebtedness and other obligations arising from any other transaction.</w:t>
      </w:r>
    </w:p>
    <w:p>
      <w:pPr>
        <w:spacing w:after="0" w:line="18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Pool</w:t>
      </w:r>
      <w:r>
        <w:rPr>
          <w:rFonts w:ascii="Times New Roman" w:cs="Times New Roman" w:eastAsia="Times New Roman" w:hAnsi="Times New Roman"/>
          <w:sz w:val="18"/>
          <w:szCs w:val="18"/>
          <w:color w:val="auto"/>
        </w:rPr>
        <w:t>” means, at any time, all of the then outstanding Receivables purchased by the Seller pursuant to the Sale Agreement prior to the Facility Termination Date.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6.3(f)</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Rights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of the Sale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Security</w:t>
      </w:r>
      <w:r>
        <w:rPr>
          <w:rFonts w:ascii="Times New Roman" w:cs="Times New Roman" w:eastAsia="Times New Roman" w:hAnsi="Times New Roman"/>
          <w:sz w:val="18"/>
          <w:szCs w:val="18"/>
          <w:color w:val="auto"/>
        </w:rPr>
        <w:t>” means, with respect to any Receivable:</w:t>
      </w:r>
    </w:p>
    <w:p>
      <w:pPr>
        <w:spacing w:after="0" w:line="117" w:lineRule="exact"/>
        <w:rPr>
          <w:sz w:val="20"/>
          <w:szCs w:val="20"/>
          <w:color w:val="auto"/>
        </w:rPr>
      </w:pPr>
    </w:p>
    <w:p>
      <w:pPr>
        <w:ind w:left="440" w:right="40" w:firstLine="419"/>
        <w:spacing w:after="0" w:line="282" w:lineRule="auto"/>
        <w:tabs>
          <w:tab w:leader="none" w:pos="1108"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Seller’s and the Originator thereof’s interest in any goods (including returned goods), and documentation of title evidencing the shipment or storage of any goods (including returned goods), relating to any sale giving rise to such Receivable,</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instruments and chattel paper that may evidence such Receivable,</w:t>
      </w:r>
    </w:p>
    <w:p>
      <w:pPr>
        <w:spacing w:after="0" w:line="117" w:lineRule="exact"/>
        <w:rPr>
          <w:rFonts w:ascii="Times New Roman" w:cs="Times New Roman" w:eastAsia="Times New Roman" w:hAnsi="Times New Roman"/>
          <w:sz w:val="18"/>
          <w:szCs w:val="18"/>
          <w:color w:val="auto"/>
        </w:rPr>
      </w:pPr>
    </w:p>
    <w:p>
      <w:pPr>
        <w:ind w:left="440" w:right="280" w:firstLine="419"/>
        <w:spacing w:after="0" w:line="266" w:lineRule="auto"/>
        <w:tabs>
          <w:tab w:leader="none" w:pos="1108"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security interests or liens and property subject thereto from time to time purporting to secure payment of such Receivable, whether pursuant to the Contract related to such Receivable or otherwise, together with all UCC financing statements or similar filings relating thereto, and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I-23</w:t>
      </w:r>
    </w:p>
    <w:p>
      <w:pPr>
        <w:sectPr>
          <w:pgSz w:w="11900" w:h="16838" w:orient="portrait"/>
          <w:cols w:equalWidth="0" w:num="1">
            <w:col w:w="11000"/>
          </w:cols>
          <w:pgMar w:left="440" w:top="270" w:right="459" w:bottom="1440" w:gutter="0" w:footer="0" w:header="0"/>
        </w:sectPr>
      </w:pPr>
    </w:p>
    <w:bookmarkStart w:id="236" w:name="page237"/>
    <w:bookmarkEnd w:id="236"/>
    <w:p>
      <w:pPr>
        <w:ind w:left="444" w:right="40" w:firstLine="419"/>
        <w:spacing w:after="0" w:line="266" w:lineRule="auto"/>
        <w:tabs>
          <w:tab w:leader="none" w:pos="1122"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of the Seller’s and the Originator thereof’s rights, interests and claims under the Contracts and all guaranties, indemnities, insurance and other agreements (including the related Contract) or arrangements of whatever character from time to time supporting or securing payment of such Receivable or otherwise relating to such Receivable, whether pursuant to the Contract related to such Receivable or otherwise.</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left="4" w:right="3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Agreement</w:t>
      </w:r>
      <w:r>
        <w:rPr>
          <w:rFonts w:ascii="Times New Roman" w:cs="Times New Roman" w:eastAsia="Times New Roman" w:hAnsi="Times New Roman"/>
          <w:sz w:val="18"/>
          <w:szCs w:val="18"/>
          <w:color w:val="auto"/>
        </w:rPr>
        <w:t>” means the Second Amended and Restated Purchase and Sale Agreement, dated as of the date hereof, among the Seller, the Originators and the Servicer as amended through the date of this Agreement and as such agreement may be amended, amended and restated, supplemented or otherwise modified from time to time.</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Jurisdiction</w:t>
      </w:r>
      <w:r>
        <w:rPr>
          <w:rFonts w:ascii="Times New Roman" w:cs="Times New Roman" w:eastAsia="Times New Roman" w:hAnsi="Times New Roman"/>
          <w:sz w:val="18"/>
          <w:szCs w:val="18"/>
          <w:color w:val="auto"/>
        </w:rPr>
        <w:t xml:space="preserve">” means, at any time, a country or territory which is itself the subject </w:t>
      </w:r>
      <w:r>
        <w:rPr>
          <w:rFonts w:ascii="Times New Roman" w:cs="Times New Roman" w:eastAsia="Times New Roman" w:hAnsi="Times New Roman"/>
          <w:sz w:val="18"/>
          <w:szCs w:val="18"/>
          <w:color w:val="FF0000"/>
          <w:strike w:val="1"/>
        </w:rPr>
        <w:t>or target of</w:t>
      </w:r>
      <w:r>
        <w:rPr>
          <w:rFonts w:ascii="Times New Roman" w:cs="Times New Roman" w:eastAsia="Times New Roman" w:hAnsi="Times New Roman"/>
          <w:sz w:val="18"/>
          <w:szCs w:val="18"/>
          <w:u w:val="single" w:color="auto"/>
          <w:color w:val="0000FF"/>
        </w:rPr>
        <w:t>of comprehensive</w:t>
      </w:r>
      <w:r>
        <w:rPr>
          <w:rFonts w:ascii="Times New Roman" w:cs="Times New Roman" w:eastAsia="Times New Roman" w:hAnsi="Times New Roman"/>
          <w:sz w:val="18"/>
          <w:szCs w:val="18"/>
          <w:color w:val="auto"/>
        </w:rPr>
        <w:t xml:space="preserve"> Sanctions.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5074920</wp:posOffset>
            </wp:positionH>
            <wp:positionV relativeFrom="paragraph">
              <wp:posOffset>26035</wp:posOffset>
            </wp:positionV>
            <wp:extent cx="81407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14070" cy="8255"/>
                    </a:xfrm>
                    <a:prstGeom prst="rect">
                      <a:avLst/>
                    </a:prstGeom>
                    <a:noFill/>
                  </pic:spPr>
                </pic:pic>
              </a:graphicData>
            </a:graphic>
          </wp:anchor>
        </w:drawing>
      </w:r>
    </w:p>
    <w:p>
      <w:pPr>
        <w:spacing w:after="0" w:line="205"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 a Person that is the subject of sanctions administered by OFAC or the U.S. Department of State (“State”), including by virtue of being (i) named on OFAC’s list of “Specially Designated Nationals and Blocked Persons”; (ii) organized under the Laws of, ordinarily resident in, or physically located in a Sanctioned Jurisdiction; (iii) owned or controlled 50% or more in the aggregate, by one or more Persons that are the subject of sanctions administered by OFAC; (b) a Person that is the subject of sanctions maintained by the European Union (“E.U.”), including by virtue of being named on the E.U.’s “Consolidated list of persons, groups and entities subject to E.U. financial sanctions” or other, similar lists; (c) a Person that is the subject of sanctions maintained by the United Kingdom (“U.K.”), including by virtue of being named on the “Consolidated List Of Financial Sanctions Targets in the U.K.” or other, similar lists; or (d) a Person that is the subject of sanctions imposed by any Governmental Authority of a jurisdiction whose Laws apply to this Agreement.</w:t>
      </w:r>
    </w:p>
    <w:p>
      <w:pPr>
        <w:spacing w:after="0" w:line="192" w:lineRule="exact"/>
        <w:rPr>
          <w:sz w:val="20"/>
          <w:szCs w:val="20"/>
          <w:color w:val="auto"/>
        </w:rPr>
      </w:pPr>
    </w:p>
    <w:p>
      <w:pPr>
        <w:ind w:left="4" w:right="8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Sanctions</w:t>
      </w:r>
      <w:r>
        <w:rPr>
          <w:rFonts w:ascii="Times New Roman" w:cs="Times New Roman" w:eastAsia="Times New Roman" w:hAnsi="Times New Roman"/>
          <w:sz w:val="17"/>
          <w:szCs w:val="17"/>
          <w:color w:val="auto"/>
        </w:rPr>
        <w:t>” means economic or financial sanctions or trade embargoes imposed, administered or enforced from time to time by (a) the U.S. government, including those administered by the Office of Foreign Assets Control of the U.S. Department of Treasury or the U.S. Department of State,</w:t>
      </w:r>
    </w:p>
    <w:p>
      <w:pPr>
        <w:spacing w:after="0" w:line="1" w:lineRule="exact"/>
        <w:rPr>
          <w:sz w:val="20"/>
          <w:szCs w:val="20"/>
          <w:color w:val="auto"/>
        </w:rPr>
      </w:pPr>
    </w:p>
    <w:p>
      <w:pPr>
        <w:ind w:left="4" w:right="60" w:hanging="4"/>
        <w:spacing w:after="0" w:line="260" w:lineRule="auto"/>
        <w:tabs>
          <w:tab w:leader="none" w:pos="259"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United Nations Security Council, the European Union, any European Union member state or </w:t>
      </w:r>
      <w:r>
        <w:rPr>
          <w:rFonts w:ascii="Times New Roman" w:cs="Times New Roman" w:eastAsia="Times New Roman" w:hAnsi="Times New Roman"/>
          <w:sz w:val="18"/>
          <w:szCs w:val="18"/>
          <w:color w:val="FF0000"/>
          <w:strike w:val="1"/>
        </w:rPr>
        <w:t>Her</w:t>
      </w:r>
      <w:r>
        <w:rPr>
          <w:rFonts w:ascii="Times New Roman" w:cs="Times New Roman" w:eastAsia="Times New Roman" w:hAnsi="Times New Roman"/>
          <w:sz w:val="18"/>
          <w:szCs w:val="18"/>
          <w:u w:val="single" w:color="auto"/>
          <w:color w:val="0000FF"/>
        </w:rPr>
        <w:t>His</w:t>
      </w:r>
      <w:r>
        <w:rPr>
          <w:rFonts w:ascii="Times New Roman" w:cs="Times New Roman" w:eastAsia="Times New Roman" w:hAnsi="Times New Roman"/>
          <w:sz w:val="18"/>
          <w:szCs w:val="18"/>
          <w:color w:val="auto"/>
        </w:rPr>
        <w:t xml:space="preserve"> Majesty’s Treasury of the United Kingdom or (c) the Government of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4766310</wp:posOffset>
            </wp:positionH>
            <wp:positionV relativeFrom="paragraph">
              <wp:posOffset>-138430</wp:posOffset>
            </wp:positionV>
            <wp:extent cx="16319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161" w:lineRule="exact"/>
        <w:rPr>
          <w:sz w:val="20"/>
          <w:szCs w:val="20"/>
          <w:color w:val="auto"/>
        </w:rPr>
      </w:pPr>
    </w:p>
    <w:p>
      <w:pPr>
        <w:ind w:left="4" w:right="58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Scheduled Commitment Termination Date</w:t>
      </w:r>
      <w:r>
        <w:rPr>
          <w:rFonts w:ascii="Times New Roman" w:cs="Times New Roman" w:eastAsia="Times New Roman" w:hAnsi="Times New Roman"/>
          <w:sz w:val="17"/>
          <w:szCs w:val="17"/>
          <w:color w:val="auto"/>
        </w:rPr>
        <w:t xml:space="preserve">” means with respect to any Committed Purchaser, the date set forth as such below its name on </w:t>
      </w:r>
      <w:r>
        <w:rPr>
          <w:rFonts w:ascii="Times New Roman" w:cs="Times New Roman" w:eastAsia="Times New Roman" w:hAnsi="Times New Roman"/>
          <w:sz w:val="17"/>
          <w:szCs w:val="17"/>
          <w:u w:val="single" w:color="auto"/>
          <w:color w:val="auto"/>
        </w:rPr>
        <w:t>Schedule VII</w:t>
      </w:r>
      <w:r>
        <w:rPr>
          <w:rFonts w:ascii="Times New Roman" w:cs="Times New Roman" w:eastAsia="Times New Roman" w:hAnsi="Times New Roman"/>
          <w:sz w:val="17"/>
          <w:szCs w:val="17"/>
          <w:color w:val="auto"/>
        </w:rPr>
        <w:t xml:space="preserve"> to this Agreement or in any Assumption Agreement or other document pursuant to which such Purchaser became a party hereto.</w:t>
      </w:r>
    </w:p>
    <w:p>
      <w:pPr>
        <w:spacing w:after="0" w:line="14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Scotia</w:t>
      </w:r>
      <w:r>
        <w:rPr>
          <w:rFonts w:ascii="Times New Roman" w:cs="Times New Roman" w:eastAsia="Times New Roman" w:hAnsi="Times New Roman"/>
          <w:sz w:val="18"/>
          <w:szCs w:val="18"/>
          <w:color w:val="auto"/>
        </w:rPr>
        <w:t>” means The Bank of Nova Scotia.</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has the meaning set forth in the preamble to this Agreement.</w:t>
      </w:r>
    </w:p>
    <w:p>
      <w:pPr>
        <w:spacing w:after="0" w:line="158" w:lineRule="exact"/>
        <w:rPr>
          <w:sz w:val="20"/>
          <w:szCs w:val="20"/>
          <w:color w:val="auto"/>
        </w:rPr>
      </w:pPr>
    </w:p>
    <w:p>
      <w:pPr>
        <w:ind w:left="5364"/>
        <w:spacing w:after="0"/>
        <w:rPr>
          <w:sz w:val="20"/>
          <w:szCs w:val="20"/>
          <w:color w:val="auto"/>
        </w:rPr>
      </w:pPr>
      <w:r>
        <w:rPr>
          <w:rFonts w:ascii="Times New Roman" w:cs="Times New Roman" w:eastAsia="Times New Roman" w:hAnsi="Times New Roman"/>
          <w:sz w:val="18"/>
          <w:szCs w:val="18"/>
          <w:color w:val="auto"/>
        </w:rPr>
        <w:t>I-24</w:t>
      </w:r>
    </w:p>
    <w:p>
      <w:pPr>
        <w:sectPr>
          <w:pgSz w:w="11900" w:h="16838" w:orient="portrait"/>
          <w:cols w:equalWidth="0" w:num="1">
            <w:col w:w="10964"/>
          </w:cols>
          <w:pgMar w:left="436" w:top="270" w:right="499" w:bottom="1440" w:gutter="0" w:footer="0" w:header="0"/>
        </w:sectPr>
      </w:pPr>
    </w:p>
    <w:bookmarkStart w:id="237" w:name="page238"/>
    <w:bookmarkEnd w:id="237"/>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Seller’s Share</w:t>
      </w:r>
      <w:r>
        <w:rPr>
          <w:rFonts w:ascii="Times New Roman" w:cs="Times New Roman" w:eastAsia="Times New Roman" w:hAnsi="Times New Roman"/>
          <w:sz w:val="18"/>
          <w:szCs w:val="18"/>
          <w:color w:val="auto"/>
        </w:rPr>
        <w:t>” of any amount means the greater of: (a) $0 and (b) such amount minus the product of (i) such amount multiplied by (ii) the Purchased Interest.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Servicer</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Servicing Fee</w:t>
      </w:r>
      <w:r>
        <w:rPr>
          <w:rFonts w:ascii="Times New Roman" w:cs="Times New Roman" w:eastAsia="Times New Roman" w:hAnsi="Times New Roman"/>
          <w:sz w:val="18"/>
          <w:szCs w:val="18"/>
          <w:color w:val="auto"/>
        </w:rPr>
        <w:t xml:space="preserve">” shall mean the fee referred to in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Servicing Fee Rate</w:t>
      </w:r>
      <w:r>
        <w:rPr>
          <w:rFonts w:ascii="Times New Roman" w:cs="Times New Roman" w:eastAsia="Times New Roman" w:hAnsi="Times New Roman"/>
          <w:sz w:val="18"/>
          <w:szCs w:val="18"/>
          <w:color w:val="auto"/>
        </w:rPr>
        <w:t>” means, at any time, 1.0%.</w:t>
      </w:r>
    </w:p>
    <w:p>
      <w:pPr>
        <w:spacing w:after="0" w:line="225" w:lineRule="exact"/>
        <w:rPr>
          <w:sz w:val="20"/>
          <w:szCs w:val="20"/>
          <w:color w:val="auto"/>
        </w:rPr>
      </w:pPr>
    </w:p>
    <w:p>
      <w:pPr>
        <w:ind w:right="80" w:firstLine="440"/>
        <w:spacing w:after="0" w:line="24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means the 22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day of each calendar month (or, if such day is not a Business Day, the next occurring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if pursuant to </w:t>
      </w:r>
      <w:r>
        <w:rPr>
          <w:rFonts w:ascii="Times New Roman" w:cs="Times New Roman" w:eastAsia="Times New Roman" w:hAnsi="Times New Roman"/>
          <w:sz w:val="18"/>
          <w:szCs w:val="18"/>
          <w:u w:val="single" w:color="auto"/>
          <w:color w:val="auto"/>
        </w:rPr>
        <w:t>Section 2(i)(iii)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Exhibit IV</w:t>
      </w:r>
      <w:r>
        <w:rPr>
          <w:rFonts w:ascii="Times New Roman" w:cs="Times New Roman" w:eastAsia="Times New Roman" w:hAnsi="Times New Roman"/>
          <w:sz w:val="18"/>
          <w:szCs w:val="18"/>
          <w:color w:val="auto"/>
        </w:rPr>
        <w:t xml:space="preserve">, the Servicer is required to provide Information Packages on a more frequent than monthly basis, then the “Settlement Date”, solely for purposes of amounts distributable in respect of principal pursuant to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in the event the Purchased Interest exceeds 100% at such time, shall (in addition to the monthly Settlement Date described above, in the case of all other distributions) be the Wednesday of each calendar week (or if such day is not a Business Day, the next occurring Business Day);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anything else in this definition to the contrary, on and after the occurrence and continuation of any Termination Event, the Settlement Date shall be the date selected as such by the Administrator (with the consent or at the direction of the Majority Purchasers) from time to time (</w:t>
      </w:r>
      <w:r>
        <w:rPr>
          <w:rFonts w:ascii="Times New Roman" w:cs="Times New Roman" w:eastAsia="Times New Roman" w:hAnsi="Times New Roman"/>
          <w:sz w:val="18"/>
          <w:szCs w:val="18"/>
          <w:u w:val="single" w:color="auto"/>
          <w:color w:val="auto"/>
        </w:rPr>
        <w:t>it being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understood</w:t>
      </w:r>
      <w:r>
        <w:rPr>
          <w:rFonts w:ascii="Times New Roman" w:cs="Times New Roman" w:eastAsia="Times New Roman" w:hAnsi="Times New Roman"/>
          <w:sz w:val="18"/>
          <w:szCs w:val="18"/>
          <w:color w:val="auto"/>
        </w:rPr>
        <w:t xml:space="preserve"> that the Administrator (with the consent or at the direction of the Majority Purchasers) may select such Settlement Date to occur as frequently as daily) or, in the absence of any such selection, the date which would be the Settlement Date pursuant to this definition.</w:t>
      </w:r>
    </w:p>
    <w:p>
      <w:pPr>
        <w:spacing w:after="0" w:line="197"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Simple Majority</w:t>
      </w:r>
      <w:r>
        <w:rPr>
          <w:rFonts w:ascii="Times New Roman" w:cs="Times New Roman" w:eastAsia="Times New Roman" w:hAnsi="Times New Roman"/>
          <w:sz w:val="18"/>
          <w:szCs w:val="18"/>
          <w:color w:val="auto"/>
        </w:rPr>
        <w:t>” means, at any time, Purchasers whose Commitments aggregate more than 50% of the aggregate of the Commitments of all Purchasers.</w:t>
      </w:r>
    </w:p>
    <w:p>
      <w:pPr>
        <w:spacing w:after="0" w:line="162"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SOFR</w:t>
      </w:r>
      <w:r>
        <w:rPr>
          <w:rFonts w:ascii="Times New Roman" w:cs="Times New Roman" w:eastAsia="Times New Roman" w:hAnsi="Times New Roman"/>
          <w:sz w:val="17"/>
          <w:szCs w:val="17"/>
          <w:color w:val="auto"/>
        </w:rPr>
        <w:t>” means a rate per annum equal to the secured overnight financing rate for such Business Day published by the SOFR Administrator on the SOFR Administrator’s Website). The SOFR shall be adjusted with respect to any Investment to which the SOFR Rate Option applies that is outstanding on the effective date of any change in the SOFR Reserve Percentage as of such effective date and the Administrator shall give prompt notice to the Seller of the SOFR Rate Investments as determined or adjusted in accordance herewith, which determination shall be conclusive absent manifest error.</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Adjustment</w:t>
      </w:r>
      <w:r>
        <w:rPr>
          <w:rFonts w:ascii="Times New Roman" w:cs="Times New Roman" w:eastAsia="Times New Roman" w:hAnsi="Times New Roman"/>
          <w:sz w:val="18"/>
          <w:szCs w:val="18"/>
          <w:color w:val="auto"/>
        </w:rPr>
        <w:t>” means 0.10%.</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Federal Reserve Bank of New York (or a successor administrator of the secured overnight financing rate).</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Administrator’s Website</w:t>
      </w:r>
      <w:r>
        <w:rPr>
          <w:rFonts w:ascii="Times New Roman" w:cs="Times New Roman" w:eastAsia="Times New Roman" w:hAnsi="Times New Roman"/>
          <w:sz w:val="18"/>
          <w:szCs w:val="18"/>
          <w:color w:val="auto"/>
        </w:rPr>
        <w:t>” means the website of the Federal Reserve Bank of New York, currently at http://www.newyorkfed.org (or any successor source for the secured overnight financing rate identified as such by the SOFR Administrator from time to time.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I-25</w:t>
      </w:r>
    </w:p>
    <w:p>
      <w:pPr>
        <w:sectPr>
          <w:pgSz w:w="11900" w:h="16838" w:orient="portrait"/>
          <w:cols w:equalWidth="0" w:num="1">
            <w:col w:w="10980"/>
          </w:cols>
          <w:pgMar w:left="440" w:top="270" w:right="479" w:bottom="1440" w:gutter="0" w:footer="0" w:header="0"/>
        </w:sectPr>
      </w:pPr>
    </w:p>
    <w:bookmarkStart w:id="238" w:name="page239"/>
    <w:bookmarkEnd w:id="238"/>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SOFR Rate</w:t>
      </w:r>
      <w:r>
        <w:rPr>
          <w:rFonts w:ascii="Times New Roman" w:cs="Times New Roman" w:eastAsia="Times New Roman" w:hAnsi="Times New Roman"/>
          <w:sz w:val="18"/>
          <w:szCs w:val="18"/>
          <w:color w:val="auto"/>
        </w:rPr>
        <w:t xml:space="preserve">” means, with respect to Investments comprising any Portion of Investment to which Term SOFR applies for any Yield Period, the rate per annum determined by the Administrator by dividing (the resulting quotient rounded upwards, at the Administrator’s discretion, to the nearest 1/100th of 1%) (a) two (2) Business Days prior to the first day of such Yield Period and having a term comparable to such Yield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rate is not published on such determination date, then the rate per annum for purposes of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shall be SOFR on the first Business Day immediately prior thereto, by (b) a number equal to 1.00 minus the SOFR Reserve Percentage.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Rate Investment</w:t>
      </w:r>
      <w:r>
        <w:rPr>
          <w:rFonts w:ascii="Times New Roman" w:cs="Times New Roman" w:eastAsia="Times New Roman" w:hAnsi="Times New Roman"/>
          <w:sz w:val="18"/>
          <w:szCs w:val="18"/>
          <w:color w:val="auto"/>
        </w:rPr>
        <w:t>” means an Investment that accrues discount based on the SOFR Rate.</w:t>
      </w:r>
    </w:p>
    <w:p>
      <w:pPr>
        <w:spacing w:after="0" w:line="225" w:lineRule="exact"/>
        <w:rPr>
          <w:sz w:val="20"/>
          <w:szCs w:val="20"/>
          <w:color w:val="auto"/>
        </w:rPr>
      </w:pPr>
    </w:p>
    <w:p>
      <w:pPr>
        <w:ind w:right="10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Rate Option</w:t>
      </w:r>
      <w:r>
        <w:rPr>
          <w:rFonts w:ascii="Times New Roman" w:cs="Times New Roman" w:eastAsia="Times New Roman" w:hAnsi="Times New Roman"/>
          <w:sz w:val="18"/>
          <w:szCs w:val="18"/>
          <w:color w:val="auto"/>
        </w:rPr>
        <w:t xml:space="preserve">” means the option of the Seller to have Investments accrue discount at the rate and under the terms specified in </w:t>
      </w:r>
      <w:r>
        <w:rPr>
          <w:rFonts w:ascii="Times New Roman" w:cs="Times New Roman" w:eastAsia="Times New Roman" w:hAnsi="Times New Roman"/>
          <w:sz w:val="18"/>
          <w:szCs w:val="18"/>
          <w:u w:val="single" w:color="auto"/>
          <w:color w:val="auto"/>
        </w:rPr>
        <w:t>Section 1.12(a)(i)(A)(1)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Reserve Percentage</w:t>
      </w:r>
      <w:r>
        <w:rPr>
          <w:rFonts w:ascii="Times New Roman" w:cs="Times New Roman" w:eastAsia="Times New Roman" w:hAnsi="Times New Roman"/>
          <w:sz w:val="18"/>
          <w:szCs w:val="18"/>
          <w:color w:val="auto"/>
        </w:rPr>
        <w:t>” shall mean, as of any day, the maximum effective percentage in effect on such day, if any, as prescribed by the Federal Reserve Board (or any successor) for determining the reserve requirements (including, without limitation, supplemental, marginal and emergency reserve requirements) with respect to SOFR funding.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means, with respect to any Person at any time, a condition under which:</w:t>
      </w:r>
    </w:p>
    <w:p>
      <w:pPr>
        <w:spacing w:after="0" w:line="117" w:lineRule="exact"/>
        <w:rPr>
          <w:sz w:val="20"/>
          <w:szCs w:val="20"/>
          <w:color w:val="auto"/>
        </w:rPr>
      </w:pPr>
    </w:p>
    <w:p>
      <w:pPr>
        <w:ind w:left="440" w:right="20" w:firstLine="419"/>
        <w:spacing w:after="0" w:line="282" w:lineRule="auto"/>
        <w:tabs>
          <w:tab w:leader="none" w:pos="1078"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and present fair saleable value of such Person’s total assets is, on the date of determination, greater than such Person’s total liabilities (including contingent and unliquidated liabilities) at such time;</w:t>
      </w:r>
    </w:p>
    <w:p>
      <w:pPr>
        <w:spacing w:after="0" w:line="53"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28"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and present fair saleable value of such Person’s assets is greater than the amount that will be required to pay such Person’s probable liability on its existing debts as they become absolute and matured (“</w:t>
      </w:r>
      <w:r>
        <w:rPr>
          <w:rFonts w:ascii="Times New Roman" w:cs="Times New Roman" w:eastAsia="Times New Roman" w:hAnsi="Times New Roman"/>
          <w:sz w:val="18"/>
          <w:szCs w:val="18"/>
          <w:u w:val="single" w:color="auto"/>
          <w:color w:val="auto"/>
        </w:rPr>
        <w:t>debts</w:t>
      </w:r>
      <w:r>
        <w:rPr>
          <w:rFonts w:ascii="Times New Roman" w:cs="Times New Roman" w:eastAsia="Times New Roman" w:hAnsi="Times New Roman"/>
          <w:sz w:val="18"/>
          <w:szCs w:val="18"/>
          <w:color w:val="auto"/>
        </w:rPr>
        <w:t>,” for this purpose, includes all legal liabilities, whether matured or unmatured, liquidated or unliquidated, absolute, fixed, or contingent);</w:t>
      </w:r>
    </w:p>
    <w:p>
      <w:pPr>
        <w:spacing w:after="0" w:line="6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is and shall continue to be able to pay all of its liabilities as such liabilities mature; and</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does not have unreasonably small capital with which to engage in its current and in its anticipated business.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purposes of this definition:</w:t>
      </w:r>
    </w:p>
    <w:p>
      <w:pPr>
        <w:spacing w:after="0" w:line="117" w:lineRule="exact"/>
        <w:rPr>
          <w:sz w:val="20"/>
          <w:szCs w:val="20"/>
          <w:color w:val="auto"/>
        </w:rPr>
      </w:pPr>
    </w:p>
    <w:p>
      <w:pPr>
        <w:ind w:left="980" w:right="20" w:firstLine="408"/>
        <w:spacing w:after="0" w:line="282" w:lineRule="auto"/>
        <w:tabs>
          <w:tab w:leader="none" w:pos="1676"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 Person’s contingent or unliquidated liabilities at any time shall be that amount which, in light of all the facts and circumstances then existing, represents the amount which can reasonably be expected to become an actual or matured liability;</w:t>
      </w:r>
    </w:p>
    <w:p>
      <w:pPr>
        <w:spacing w:after="0" w:line="53" w:lineRule="exact"/>
        <w:rPr>
          <w:rFonts w:ascii="Times New Roman" w:cs="Times New Roman" w:eastAsia="Times New Roman" w:hAnsi="Times New Roman"/>
          <w:sz w:val="18"/>
          <w:szCs w:val="18"/>
          <w:color w:val="auto"/>
        </w:rPr>
      </w:pPr>
    </w:p>
    <w:p>
      <w:pPr>
        <w:ind w:left="980" w:right="100" w:firstLine="408"/>
        <w:spacing w:after="0" w:line="282" w:lineRule="auto"/>
        <w:tabs>
          <w:tab w:leader="none" w:pos="1666"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an asset shall be the amount which may be realized within a reasonable time either through collection or sale of such asset at its regular market value;</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I-26</w:t>
      </w:r>
    </w:p>
    <w:p>
      <w:pPr>
        <w:sectPr>
          <w:pgSz w:w="11900" w:h="16838" w:orient="portrait"/>
          <w:cols w:equalWidth="0" w:num="1">
            <w:col w:w="10940"/>
          </w:cols>
          <w:pgMar w:left="440" w:top="270" w:right="519" w:bottom="1440" w:gutter="0" w:footer="0" w:header="0"/>
        </w:sectPr>
      </w:pPr>
    </w:p>
    <w:bookmarkStart w:id="239" w:name="page240"/>
    <w:bookmarkEnd w:id="239"/>
    <w:p>
      <w:pPr>
        <w:ind w:left="980" w:right="300" w:firstLine="408"/>
        <w:spacing w:after="0" w:line="282" w:lineRule="auto"/>
        <w:tabs>
          <w:tab w:leader="none" w:pos="1666"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“regular market value” of an asset shall be the amount which a capable and diligent business person could obtain for such asset from an interested buyer who is willing to Purchase such asset under ordinary selling conditions; and</w:t>
      </w:r>
    </w:p>
    <w:p>
      <w:pPr>
        <w:spacing w:after="0" w:line="53" w:lineRule="exact"/>
        <w:rPr>
          <w:rFonts w:ascii="Times New Roman" w:cs="Times New Roman" w:eastAsia="Times New Roman" w:hAnsi="Times New Roman"/>
          <w:sz w:val="18"/>
          <w:szCs w:val="18"/>
          <w:color w:val="auto"/>
        </w:rPr>
      </w:pPr>
    </w:p>
    <w:p>
      <w:pPr>
        <w:ind w:left="980" w:right="580" w:firstLine="408"/>
        <w:spacing w:after="0" w:line="282" w:lineRule="auto"/>
        <w:tabs>
          <w:tab w:leader="none" w:pos="1676"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fair saleable value” of an asset means the amount which can be obtained if such asset is sold with reasonable promptness in an arm’s-length transaction in an existing and not theoretical market.</w:t>
      </w:r>
    </w:p>
    <w:p>
      <w:pPr>
        <w:spacing w:after="0" w:line="162"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Specifically Reserved Amount</w:t>
      </w:r>
      <w:r>
        <w:rPr>
          <w:rFonts w:ascii="Times New Roman" w:cs="Times New Roman" w:eastAsia="Times New Roman" w:hAnsi="Times New Roman"/>
          <w:sz w:val="18"/>
          <w:szCs w:val="18"/>
          <w:color w:val="auto"/>
        </w:rPr>
        <w:t>” means, at any time, the aggregate amount then recorded on the books and records of the Originators as the sum of (i) the aggregate accrued rebate payments owing to Obligors related to the purchase volumes by such Obligors with respect to the Pool Receivables and (ii) deferred revenue reserves with respect to the Pool Receivables.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Standard &amp; Poor’s</w:t>
      </w:r>
      <w:r>
        <w:rPr>
          <w:rFonts w:ascii="Times New Roman" w:cs="Times New Roman" w:eastAsia="Times New Roman" w:hAnsi="Times New Roman"/>
          <w:sz w:val="18"/>
          <w:szCs w:val="18"/>
          <w:color w:val="auto"/>
        </w:rPr>
        <w:t>” means Standard &amp; Poor’s, a division of The McGraw-Hill Companies, Inc.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Subject Anixter UCC</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Schedule V</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Subject Originator</w:t>
      </w:r>
      <w:r>
        <w:rPr>
          <w:rFonts w:ascii="Times New Roman" w:cs="Times New Roman" w:eastAsia="Times New Roman" w:hAnsi="Times New Roman"/>
          <w:sz w:val="18"/>
          <w:szCs w:val="18"/>
          <w:color w:val="auto"/>
        </w:rPr>
        <w:t>” means any Subsidiary (organized under the laws of the United States or any state thereof) of Holdings for which the aggregate Outstanding Balance of all Receivables of such Subsidiary of Holdings do not exceed 5.0% of the aggregate Outstanding Balance off all Receivables then in the Receivables Pool.</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Subject UCC</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1(u)</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Exhibit III</w:t>
      </w:r>
      <w:r>
        <w:rPr>
          <w:rFonts w:ascii="Times New Roman" w:cs="Times New Roman" w:eastAsia="Times New Roman" w:hAnsi="Times New Roman"/>
          <w:sz w:val="18"/>
          <w:szCs w:val="18"/>
          <w:color w:val="auto"/>
        </w:rPr>
        <w:t xml:space="preserve"> to this Agreement.</w:t>
      </w:r>
    </w:p>
    <w:p>
      <w:pPr>
        <w:spacing w:after="0" w:line="225"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as to any Person, a corporation, partnership, limited liability company or other entity of which shares of stock of each class or other interests having ordinary voting power (other than stock or other interests having such power only by reason of the happening of a contingency) to elect a majority of the Board of Directors or other managers of such entity are at the time owned, or management of which is otherwise controlled: (a) by such Person, (b) by one or more Subsidiaries of such Person or (c) by such Person and one or more Subsidiaries of such Person.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Tangible Net Worth</w:t>
      </w:r>
      <w:r>
        <w:rPr>
          <w:rFonts w:ascii="Times New Roman" w:cs="Times New Roman" w:eastAsia="Times New Roman" w:hAnsi="Times New Roman"/>
          <w:sz w:val="18"/>
          <w:szCs w:val="18"/>
          <w:color w:val="auto"/>
        </w:rPr>
        <w:t>” means, with respect to any Person, the tangible net worth of such Person as determined in accordance with GAAP.</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TD</w:t>
      </w:r>
      <w:r>
        <w:rPr>
          <w:rFonts w:ascii="Times New Roman" w:cs="Times New Roman" w:eastAsia="Times New Roman" w:hAnsi="Times New Roman"/>
          <w:sz w:val="18"/>
          <w:szCs w:val="18"/>
          <w:color w:val="auto"/>
        </w:rPr>
        <w:t>” means The Toronto-Dominion Bank.</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Rate Investment</w:t>
      </w:r>
      <w:r>
        <w:rPr>
          <w:rFonts w:ascii="Times New Roman" w:cs="Times New Roman" w:eastAsia="Times New Roman" w:hAnsi="Times New Roman"/>
          <w:sz w:val="18"/>
          <w:szCs w:val="18"/>
          <w:color w:val="auto"/>
        </w:rPr>
        <w:t>” means an Investment that accrues discount at a rate based on the SOFR Rate.</w:t>
      </w:r>
    </w:p>
    <w:p>
      <w:pPr>
        <w:spacing w:after="0" w:line="225"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Rate Investment Option</w:t>
      </w:r>
      <w:r>
        <w:rPr>
          <w:rFonts w:ascii="Times New Roman" w:cs="Times New Roman" w:eastAsia="Times New Roman" w:hAnsi="Times New Roman"/>
          <w:sz w:val="18"/>
          <w:szCs w:val="18"/>
          <w:color w:val="auto"/>
        </w:rPr>
        <w:t xml:space="preserve">” means the option of the Seller to have Investments accrue discount at the rate and under the terms specified in </w:t>
      </w:r>
      <w:r>
        <w:rPr>
          <w:rFonts w:ascii="Times New Roman" w:cs="Times New Roman" w:eastAsia="Times New Roman" w:hAnsi="Times New Roman"/>
          <w:sz w:val="18"/>
          <w:szCs w:val="18"/>
          <w:u w:val="single" w:color="auto"/>
          <w:color w:val="auto"/>
        </w:rPr>
        <w:t>Section 1.12(a)(i)(A)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0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 for the applicable corresponding tenor, the forward-looking term rate based on SOFR that has been selected or recommended by the Relevant Governmental Body.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I-27</w:t>
      </w:r>
    </w:p>
    <w:p>
      <w:pPr>
        <w:sectPr>
          <w:pgSz w:w="11900" w:h="16838" w:orient="portrait"/>
          <w:cols w:equalWidth="0" w:num="1">
            <w:col w:w="11000"/>
          </w:cols>
          <w:pgMar w:left="440" w:top="270" w:right="459" w:bottom="1440" w:gutter="0" w:footer="0" w:header="0"/>
        </w:sectPr>
      </w:pPr>
    </w:p>
    <w:bookmarkStart w:id="240" w:name="page241"/>
    <w:bookmarkEnd w:id="240"/>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Termination Day</w:t>
      </w:r>
      <w:r>
        <w:rPr>
          <w:rFonts w:ascii="Times New Roman" w:cs="Times New Roman" w:eastAsia="Times New Roman" w:hAnsi="Times New Roman"/>
          <w:sz w:val="18"/>
          <w:szCs w:val="18"/>
          <w:color w:val="auto"/>
        </w:rPr>
        <w:t xml:space="preserve">” means: (a) each day on which the conditions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Exhibit II</w:t>
      </w:r>
      <w:r>
        <w:rPr>
          <w:rFonts w:ascii="Times New Roman" w:cs="Times New Roman" w:eastAsia="Times New Roman" w:hAnsi="Times New Roman"/>
          <w:sz w:val="18"/>
          <w:szCs w:val="18"/>
          <w:color w:val="auto"/>
        </w:rPr>
        <w:t xml:space="preserve"> to this Agreement are not satisfied or (b) each day that occurs on or after the Facility Termination Date.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Event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Exhibit V</w:t>
      </w:r>
      <w:r>
        <w:rPr>
          <w:rFonts w:ascii="Times New Roman" w:cs="Times New Roman" w:eastAsia="Times New Roman" w:hAnsi="Times New Roman"/>
          <w:sz w:val="18"/>
          <w:szCs w:val="18"/>
          <w:color w:val="auto"/>
        </w:rPr>
        <w:t xml:space="preserve"> to this Agreement.</w:t>
      </w:r>
    </w:p>
    <w:p>
      <w:pPr>
        <w:spacing w:after="0" w:line="22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Fee</w:t>
      </w:r>
      <w:r>
        <w:rPr>
          <w:rFonts w:ascii="Times New Roman" w:cs="Times New Roman" w:eastAsia="Times New Roman" w:hAnsi="Times New Roman"/>
          <w:sz w:val="18"/>
          <w:szCs w:val="18"/>
          <w:color w:val="auto"/>
        </w:rPr>
        <w:t>” means, for any Yield Period, with respect to any Purchaser, the amount, if any, by which: (a) the additional Discount related to such Purchaser’s Investment (calculated without taking into account any Termination Fee or any shortened duration of such Yield Period) that would have accrued during such Yield Period on the reductions of Investment relating to such Yield Period had such reductions not been made, exceeds (b) the income, if any, received by such Purchaser from investing the proceeds of such reductions of Investment, as determined by the such Purchaser’s Purchaser Agent, which determination shall be binding and conclusive for all purposes, absent manifest error.</w:t>
      </w:r>
    </w:p>
    <w:p>
      <w:pPr>
        <w:spacing w:after="0" w:line="183"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Reserves</w:t>
      </w:r>
      <w:r>
        <w:rPr>
          <w:rFonts w:ascii="Times New Roman" w:cs="Times New Roman" w:eastAsia="Times New Roman" w:hAnsi="Times New Roman"/>
          <w:sz w:val="18"/>
          <w:szCs w:val="18"/>
          <w:color w:val="auto"/>
        </w:rPr>
        <w:t>” means, at any time the sum of: (a) the Yield Reserve, plus (b) the greater of (i) the Dilution Reserve plus the Loss Reserve and (ii) the Minimum Dilution Reserve plus the Concentration Reserve.</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(i) this Agreement, the Lock-Box Agreements, the Lock-Box Schedule Letter Agreement, each Purchaser Group Fee Letter, the Sale Agreement, the Intercreditor Agreement, the EU/UK Risk Retention Letter and (ii) all other certificates, instruments, UCC financing statements, reports, notices, agreements and documents executed or delivered under or in connection with this Agreement or such other agreement, in each case as the same may be amended, supplemented or otherwise modified from time to time in accordance with this Agreement.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Supplement</w:t>
      </w:r>
      <w:r>
        <w:rPr>
          <w:rFonts w:ascii="Times New Roman" w:cs="Times New Roman" w:eastAsia="Times New Roman" w:hAnsi="Times New Roman"/>
          <w:sz w:val="18"/>
          <w:szCs w:val="18"/>
          <w:color w:val="auto"/>
        </w:rPr>
        <w:t xml:space="preserve">” has the respective meanings set forth in </w:t>
      </w:r>
      <w:r>
        <w:rPr>
          <w:rFonts w:ascii="Times New Roman" w:cs="Times New Roman" w:eastAsia="Times New Roman" w:hAnsi="Times New Roman"/>
          <w:sz w:val="18"/>
          <w:szCs w:val="18"/>
          <w:u w:val="single" w:color="auto"/>
          <w:color w:val="auto"/>
        </w:rPr>
        <w:t>Sections 6.3(c)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6.3(e)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as from time to time in effect in the applicable jurisdiction.</w:t>
      </w:r>
    </w:p>
    <w:p>
      <w:pPr>
        <w:spacing w:after="0" w:line="225"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Securitisation Regulation</w:t>
      </w:r>
      <w:r>
        <w:rPr>
          <w:rFonts w:ascii="Times New Roman" w:cs="Times New Roman" w:eastAsia="Times New Roman" w:hAnsi="Times New Roman"/>
          <w:sz w:val="18"/>
          <w:szCs w:val="18"/>
          <w:color w:val="auto"/>
        </w:rPr>
        <w:t>” means Regulation (EU) 2017/2402 as it forms part of UK domestic law by operation of the EUWA, and as amended by the Securitisation (Amendment) (EU Exit) Regulations 2019, and as further amended.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I-28</w:t>
      </w:r>
    </w:p>
    <w:p>
      <w:pPr>
        <w:sectPr>
          <w:pgSz w:w="11900" w:h="16838" w:orient="portrait"/>
          <w:cols w:equalWidth="0" w:num="1">
            <w:col w:w="10980"/>
          </w:cols>
          <w:pgMar w:left="440" w:top="270" w:right="479" w:bottom="1440" w:gutter="0" w:footer="0" w:header="0"/>
        </w:sectPr>
      </w:pPr>
    </w:p>
    <w:bookmarkStart w:id="241" w:name="page242"/>
    <w:bookmarkEnd w:id="241"/>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UK Securitisation Regulation Rules</w:t>
      </w:r>
      <w:r>
        <w:rPr>
          <w:rFonts w:ascii="Times New Roman" w:cs="Times New Roman" w:eastAsia="Times New Roman" w:hAnsi="Times New Roman"/>
          <w:sz w:val="18"/>
          <w:szCs w:val="18"/>
          <w:color w:val="auto"/>
        </w:rPr>
        <w:t>” means the UK Securitisation Regulation, together with (a) all applicable binding technical standards made under the UK Securitisation Regulation, (b) any EU regulatory technical standards or implementing technical standards relating to the EU Securitization Regulation (including such regulatory technical standards or implementing technical standards which are applicable pursuant to any transitional provisions of the EU Securitisation Regulation) forming part of UK domestic law by operation of the EUWA, (c) relevant guidance, policy statements or directions relating to the application of the UK Securitisation Regulation (or any binding technical standards) published by the Financial Conduct Authority and/or Prudential Regulation Authority (or their successors), (d) any guidelines relating to the application of the EU Securitisation Regulation which are applicable in the UK, (e) any other transitional, saving or other provision relevant to the UK Securitisation Regulation by virtue of the operation of the EUWA and (f) any other applicable laws, acts, statutory instruments, rules, guidance or policy statements published or enacted relating to the UK Securitisation Regulation, in each case, as may be amended from time to time.</w:t>
      </w:r>
    </w:p>
    <w:p>
      <w:pPr>
        <w:spacing w:after="0" w:line="188"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Unmatured Purchase and Sale Termination Event</w:t>
      </w:r>
      <w:r>
        <w:rPr>
          <w:rFonts w:ascii="Times New Roman" w:cs="Times New Roman" w:eastAsia="Times New Roman" w:hAnsi="Times New Roman"/>
          <w:sz w:val="18"/>
          <w:szCs w:val="18"/>
          <w:color w:val="auto"/>
        </w:rPr>
        <w:t>” means any event which, with the giving of notice or lapse of time, or both, would become a Purchase and Sale Termination Event.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Unmatured Termination Event</w:t>
      </w:r>
      <w:r>
        <w:rPr>
          <w:rFonts w:ascii="Times New Roman" w:cs="Times New Roman" w:eastAsia="Times New Roman" w:hAnsi="Times New Roman"/>
          <w:sz w:val="18"/>
          <w:szCs w:val="18"/>
          <w:color w:val="auto"/>
        </w:rPr>
        <w:t>” means an event that, with the giving of notice or lapse of time, or both, would constitute a Termination Event.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Wells</w:t>
      </w:r>
      <w:r>
        <w:rPr>
          <w:rFonts w:ascii="Times New Roman" w:cs="Times New Roman" w:eastAsia="Times New Roman" w:hAnsi="Times New Roman"/>
          <w:sz w:val="18"/>
          <w:szCs w:val="18"/>
          <w:color w:val="auto"/>
        </w:rPr>
        <w:t>” means Wells Fargo Bank, National Association.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WESCO</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FF0000"/>
          <w:strike w:val="1"/>
        </w:rPr>
        <w:t>Write-Down</w:t>
      </w:r>
      <w:r>
        <w:rPr>
          <w:rFonts w:ascii="Times New Roman" w:cs="Times New Roman" w:eastAsia="Times New Roman" w:hAnsi="Times New Roman"/>
          <w:sz w:val="18"/>
          <w:szCs w:val="18"/>
          <w:u w:val="single" w:color="auto"/>
          <w:color w:val="0000FF"/>
        </w:rPr>
        <w:t>Write-down</w:t>
      </w:r>
      <w:r>
        <w:rPr>
          <w:rFonts w:ascii="Times New Roman" w:cs="Times New Roman" w:eastAsia="Times New Roman" w:hAnsi="Times New Roman"/>
          <w:sz w:val="18"/>
          <w:szCs w:val="18"/>
          <w:color w:val="auto"/>
        </w:rPr>
        <w:t xml:space="preserve"> and Conversion Powers” means, (a) with respect to any EEA Resolution Authority, the </w:t>
      </w:r>
      <w:r>
        <w:rPr>
          <w:rFonts w:ascii="Times New Roman" w:cs="Times New Roman" w:eastAsia="Times New Roman" w:hAnsi="Times New Roman"/>
          <w:sz w:val="18"/>
          <w:szCs w:val="18"/>
          <w:color w:val="FF0000"/>
          <w:strike w:val="1"/>
        </w:rPr>
        <w:t>write-down</w:t>
      </w:r>
      <w:r>
        <w:rPr>
          <w:rFonts w:ascii="Times New Roman" w:cs="Times New Roman" w:eastAsia="Times New Roman" w:hAnsi="Times New Roman"/>
          <w:sz w:val="18"/>
          <w:szCs w:val="18"/>
          <w:u w:val="single" w:color="auto"/>
          <w:color w:val="0000FF"/>
        </w:rPr>
        <w:t>Write-down</w:t>
      </w:r>
      <w:r>
        <w:rPr>
          <w:rFonts w:ascii="Times New Roman" w:cs="Times New Roman" w:eastAsia="Times New Roman" w:hAnsi="Times New Roman"/>
          <w:sz w:val="18"/>
          <w:szCs w:val="18"/>
          <w:color w:val="auto"/>
        </w:rPr>
        <w:t xml:space="preserve"> and conversion powers of such EEA Resolution Authority from time to time under the Bail-In Legislation for the applicable EEA Member Country, which </w:t>
      </w:r>
      <w:r>
        <w:rPr>
          <w:rFonts w:ascii="Times New Roman" w:cs="Times New Roman" w:eastAsia="Times New Roman" w:hAnsi="Times New Roman"/>
          <w:sz w:val="18"/>
          <w:szCs w:val="18"/>
          <w:color w:val="FF0000"/>
          <w:strike w:val="1"/>
        </w:rPr>
        <w:t>write-down</w:t>
      </w:r>
      <w:r>
        <w:rPr>
          <w:rFonts w:ascii="Times New Roman" w:cs="Times New Roman" w:eastAsia="Times New Roman" w:hAnsi="Times New Roman"/>
          <w:sz w:val="18"/>
          <w:szCs w:val="18"/>
          <w:u w:val="single" w:color="auto"/>
          <w:color w:val="0000FF"/>
        </w:rPr>
        <w:t>Write-down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and conversion powers are described in the EU Bail-In Legislation Schedule, and (b) with respect to the United Kingdom, any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-955040</wp:posOffset>
            </wp:positionV>
            <wp:extent cx="54864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48640" cy="8255"/>
                    </a:xfrm>
                    <a:prstGeom prst="rect">
                      <a:avLst/>
                    </a:prstGeom>
                    <a:noFill/>
                  </pic:spPr>
                </pic:pic>
              </a:graphicData>
            </a:graphic>
          </wp:anchor>
        </w:drawing>
        <w:drawing>
          <wp:anchor simplePos="0" relativeHeight="251657728" behindDoc="1" locked="0" layoutInCell="0" allowOverlap="1">
            <wp:simplePos x="0" y="0"/>
            <wp:positionH relativeFrom="column">
              <wp:posOffset>1447800</wp:posOffset>
            </wp:positionH>
            <wp:positionV relativeFrom="paragraph">
              <wp:posOffset>-989330</wp:posOffset>
            </wp:positionV>
            <wp:extent cx="111379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113790" cy="8255"/>
                    </a:xfrm>
                    <a:prstGeom prst="rect">
                      <a:avLst/>
                    </a:prstGeom>
                    <a:noFill/>
                  </pic:spPr>
                </pic:pic>
              </a:graphicData>
            </a:graphic>
          </wp:anchor>
        </w:drawing>
        <w:drawing>
          <wp:anchor simplePos="0" relativeHeight="251657728" behindDoc="1" locked="0" layoutInCell="0" allowOverlap="1">
            <wp:simplePos x="0" y="0"/>
            <wp:positionH relativeFrom="column">
              <wp:posOffset>6006465</wp:posOffset>
            </wp:positionH>
            <wp:positionV relativeFrom="paragraph">
              <wp:posOffset>-955040</wp:posOffset>
            </wp:positionV>
            <wp:extent cx="57467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74675" cy="8255"/>
                    </a:xfrm>
                    <a:prstGeom prst="rect">
                      <a:avLst/>
                    </a:prstGeom>
                    <a:noFill/>
                  </pic:spPr>
                </pic:pic>
              </a:graphicData>
            </a:graphic>
          </wp:anchor>
        </w:drawing>
        <w:drawing>
          <wp:anchor simplePos="0" relativeHeight="251657728" behindDoc="1" locked="0" layoutInCell="0" allowOverlap="1">
            <wp:simplePos x="0" y="0"/>
            <wp:positionH relativeFrom="column">
              <wp:posOffset>520065</wp:posOffset>
            </wp:positionH>
            <wp:positionV relativeFrom="paragraph">
              <wp:posOffset>-680720</wp:posOffset>
            </wp:positionV>
            <wp:extent cx="54864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17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Yield Period</w:t>
      </w:r>
      <w:r>
        <w:rPr>
          <w:rFonts w:ascii="Times New Roman" w:cs="Times New Roman" w:eastAsia="Times New Roman" w:hAnsi="Times New Roman"/>
          <w:sz w:val="18"/>
          <w:szCs w:val="18"/>
          <w:color w:val="auto"/>
        </w:rPr>
        <w:t xml:space="preserve">” means, with respect to each Portion of Investment: (a) before the Facility Termination Date: (i) initially the period commencing on the date of the initial Purchase pursuant to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of this Agreement (or in the case of any fees payable hereunder, commencing on the Closing Date) and ending on (but not including) the next Settlement Date, and (ii) thereafter, each period commencing on </w:t>
      </w:r>
      <w:r>
        <w:rPr>
          <w:rFonts w:ascii="Times New Roman" w:cs="Times New Roman" w:eastAsia="Times New Roman" w:hAnsi="Times New Roman"/>
          <w:sz w:val="18"/>
          <w:szCs w:val="18"/>
          <w:color w:val="FF0000"/>
          <w:strike w:val="1"/>
        </w:rPr>
        <w:t>such Settlement Date</w:t>
      </w:r>
      <w:r>
        <w:rPr>
          <w:rFonts w:ascii="Times New Roman" w:cs="Times New Roman" w:eastAsia="Times New Roman" w:hAnsi="Times New Roman"/>
          <w:sz w:val="18"/>
          <w:szCs w:val="18"/>
          <w:u w:val="single" w:color="auto"/>
          <w:color w:val="0000FF"/>
        </w:rPr>
        <w:t>the first day of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calendar month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ending 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(but not including) the next Settlement Date</w:t>
      </w:r>
      <w:r>
        <w:rPr>
          <w:rFonts w:ascii="Times New Roman" w:cs="Times New Roman" w:eastAsia="Times New Roman" w:hAnsi="Times New Roman"/>
          <w:sz w:val="18"/>
          <w:szCs w:val="18"/>
          <w:u w:val="single" w:color="auto"/>
          <w:color w:val="0000FF"/>
        </w:rPr>
        <w:t>the last day of such calendar month</w:t>
      </w:r>
      <w:r>
        <w:rPr>
          <w:rFonts w:ascii="Times New Roman" w:cs="Times New Roman" w:eastAsia="Times New Roman" w:hAnsi="Times New Roman"/>
          <w:sz w:val="18"/>
          <w:szCs w:val="18"/>
          <w:color w:val="000000"/>
        </w:rPr>
        <w:t>, and (b) on and after the Facility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Termination Date: such period (including a period of one day) as shall be selected from time to time by the Administrator or, in the absence of any such selection, each period </w:t>
      </w:r>
      <w:r>
        <w:rPr>
          <w:rFonts w:ascii="Times New Roman" w:cs="Times New Roman" w:eastAsia="Times New Roman" w:hAnsi="Times New Roman"/>
          <w:sz w:val="18"/>
          <w:szCs w:val="18"/>
          <w:color w:val="FF0000"/>
          <w:strike w:val="1"/>
        </w:rPr>
        <w:t>of 30 days from the last day of the preceding Yield Period.</w:t>
      </w:r>
      <w:r>
        <w:rPr>
          <w:rFonts w:ascii="Times New Roman" w:cs="Times New Roman" w:eastAsia="Times New Roman" w:hAnsi="Times New Roman"/>
          <w:sz w:val="18"/>
          <w:szCs w:val="18"/>
          <w:u w:val="single" w:color="auto"/>
          <w:color w:val="0000FF"/>
        </w:rPr>
        <w:t>commencing on the first day of a calendar month and ending on the last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day of such calendar month. Notwithstanding the foregoing, for purposes of calculating the first Yield Period ending after the Amendment Date, the Yield Period shall be the period commencing on the Settlement Date immediately prior to the Amendment Date and ending on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6169660</wp:posOffset>
            </wp:positionH>
            <wp:positionV relativeFrom="paragraph">
              <wp:posOffset>-680720</wp:posOffset>
            </wp:positionV>
            <wp:extent cx="74612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461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-543560</wp:posOffset>
            </wp:positionV>
            <wp:extent cx="7112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1200" cy="8890"/>
                    </a:xfrm>
                    <a:prstGeom prst="rect">
                      <a:avLst/>
                    </a:prstGeom>
                    <a:noFill/>
                  </pic:spPr>
                </pic:pic>
              </a:graphicData>
            </a:graphic>
          </wp:anchor>
        </w:drawing>
        <w:drawing>
          <wp:anchor simplePos="0" relativeHeight="251657728" behindDoc="1" locked="0" layoutInCell="0" allowOverlap="1">
            <wp:simplePos x="0" y="0"/>
            <wp:positionH relativeFrom="column">
              <wp:posOffset>3417570</wp:posOffset>
            </wp:positionH>
            <wp:positionV relativeFrom="paragraph">
              <wp:posOffset>-543560</wp:posOffset>
            </wp:positionV>
            <wp:extent cx="161988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619885"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-269240</wp:posOffset>
            </wp:positionV>
            <wp:extent cx="327469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2746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-132080</wp:posOffset>
            </wp:positionV>
            <wp:extent cx="676338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76338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656653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I-29</w:t>
      </w:r>
    </w:p>
    <w:p>
      <w:pPr>
        <w:sectPr>
          <w:pgSz w:w="11900" w:h="16838" w:orient="portrait"/>
          <w:cols w:equalWidth="0" w:num="1">
            <w:col w:w="10980"/>
          </w:cols>
          <w:pgMar w:left="440" w:top="270" w:right="479" w:bottom="1440" w:gutter="0" w:footer="0" w:header="0"/>
        </w:sectPr>
      </w:pPr>
    </w:p>
    <w:bookmarkStart w:id="242" w:name="page243"/>
    <w:bookmarkEnd w:id="242"/>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Yield Reserve</w:t>
      </w:r>
      <w:r>
        <w:rPr>
          <w:rFonts w:ascii="Times New Roman" w:cs="Times New Roman" w:eastAsia="Times New Roman" w:hAnsi="Times New Roman"/>
          <w:sz w:val="18"/>
          <w:szCs w:val="18"/>
          <w:color w:val="auto"/>
        </w:rPr>
        <w:t xml:space="preserve">” means, on any date, an amount equal to: (a) the Aggregate Investment on such date,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(b) (i) the Yield Reserve Percentage on such date,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(ii) 100% minus the Yield Reserve Percentage on such date.</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Yield Reserve Percentage</w:t>
      </w:r>
      <w:r>
        <w:rPr>
          <w:rFonts w:ascii="Times New Roman" w:cs="Times New Roman" w:eastAsia="Times New Roman" w:hAnsi="Times New Roman"/>
          <w:sz w:val="18"/>
          <w:szCs w:val="18"/>
          <w:color w:val="auto"/>
        </w:rPr>
        <w:t xml:space="preserve">” means, on any date, the product of (a) 1.5,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(b) the sum of (i) the Base Rate with respect to the most recent Yield Period and (ii) the Servicing Fee Rate,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(c) a fraction (i) the numerator of which is the highest Days’ Sales Outstanding for the twelve most recent calendar months and (ii) the denominator of which is 360.</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Other Terms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436"/>
        <w:spacing w:after="0" w:line="261" w:lineRule="auto"/>
        <w:tabs>
          <w:tab w:leader="none" w:pos="685"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accounting terms not specifically defined herein shall be construed in accordance with generally accepted accounting principles. All terms used in Article 9 of the UCC in the State of New York, and not specifically defined herein, are used herein as defined in such Article 9. Unless the context otherwise requires, “or” means “and/or,” and “including” (and with correlative meaning “include” and “includes”) means including without limiting the generality of any description preceding such term.</w:t>
      </w:r>
    </w:p>
    <w:p>
      <w:pPr>
        <w:spacing w:after="0" w:line="179" w:lineRule="exact"/>
        <w:rPr>
          <w:rFonts w:ascii="Times New Roman" w:cs="Times New Roman" w:eastAsia="Times New Roman" w:hAnsi="Times New Roman"/>
          <w:sz w:val="18"/>
          <w:szCs w:val="18"/>
          <w:color w:val="auto"/>
        </w:rPr>
      </w:pPr>
    </w:p>
    <w:p>
      <w:pPr>
        <w:ind w:right="20" w:firstLine="436"/>
        <w:spacing w:after="0" w:line="261" w:lineRule="auto"/>
        <w:tabs>
          <w:tab w:leader="none" w:pos="695"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of this Agreement provides a mechanism for determining an alternative rate of discount in the event that the SOFR Rate or Daily Resetting SOFR is no longer available or in certain other circumstances. The Administrator does not warrant or accept any responsibility for and shall not have any liability with respect to, the administration, submission or any other matter related to the SOFR Rate or Daily Resetting SOFR or with respect to any alternative or successor rate thereto, or replacement rate therefor.</w:t>
      </w:r>
    </w:p>
    <w:p>
      <w:pPr>
        <w:spacing w:after="0" w:line="179" w:lineRule="exact"/>
        <w:rPr>
          <w:rFonts w:ascii="Times New Roman" w:cs="Times New Roman" w:eastAsia="Times New Roman" w:hAnsi="Times New Roman"/>
          <w:sz w:val="18"/>
          <w:szCs w:val="18"/>
          <w:color w:val="auto"/>
        </w:rPr>
      </w:pPr>
    </w:p>
    <w:p>
      <w:pPr>
        <w:ind w:right="140" w:firstLine="436"/>
        <w:spacing w:after="0" w:line="258" w:lineRule="auto"/>
        <w:tabs>
          <w:tab w:leader="none" w:pos="685" w:val="left"/>
        </w:tabs>
        <w:numPr>
          <w:ilvl w:val="0"/>
          <w:numId w:val="26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Conforming Changes Relating to SOFR or Daily Resetting SOFR</w:t>
      </w:r>
      <w:r>
        <w:rPr>
          <w:rFonts w:ascii="Times New Roman" w:cs="Times New Roman" w:eastAsia="Times New Roman" w:hAnsi="Times New Roman"/>
          <w:sz w:val="18"/>
          <w:szCs w:val="18"/>
          <w:color w:val="auto"/>
        </w:rPr>
        <w:t xml:space="preserve">. The Administrator will have the right to make Conforming Changes from time to time and, notwithstanding anything to the contrary herein or in any other Transaction Document, any amendments implementing such Conforming Changes will become effective without any further action or consent of any other party to this Agreement or any other Transaction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such amendment effected, the Administrator shall provide notice to the Seller and the Purchasers each such amendment implementing such Conforming Changes reasonably promptly after such amendment becomes effective.</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I-30</w:t>
      </w:r>
    </w:p>
    <w:p>
      <w:pPr>
        <w:sectPr>
          <w:pgSz w:w="11900" w:h="16838" w:orient="portrait"/>
          <w:cols w:equalWidth="0" w:num="1">
            <w:col w:w="10940"/>
          </w:cols>
          <w:pgMar w:left="440" w:top="270" w:right="519" w:bottom="1440" w:gutter="0" w:footer="0" w:header="0"/>
        </w:sectPr>
      </w:pPr>
    </w:p>
    <w:bookmarkStart w:id="243" w:name="page244"/>
    <w:bookmarkEnd w:id="24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CONDITIONS PRECEDENT</w:t>
      </w:r>
    </w:p>
    <w:p>
      <w:pPr>
        <w:spacing w:after="0" w:line="225" w:lineRule="exact"/>
        <w:rPr>
          <w:sz w:val="20"/>
          <w:szCs w:val="20"/>
          <w:color w:val="auto"/>
        </w:rPr>
      </w:pPr>
    </w:p>
    <w:p>
      <w:pPr>
        <w:ind w:left="-20" w:right="140" w:firstLine="436"/>
        <w:spacing w:after="0" w:line="266" w:lineRule="auto"/>
        <w:tabs>
          <w:tab w:leader="none" w:pos="60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Precedent to Initial Purchase</w:t>
      </w:r>
      <w:r>
        <w:rPr>
          <w:rFonts w:ascii="Times New Roman" w:cs="Times New Roman" w:eastAsia="Times New Roman" w:hAnsi="Times New Roman"/>
          <w:sz w:val="18"/>
          <w:szCs w:val="18"/>
          <w:color w:val="auto"/>
        </w:rPr>
        <w:t>. The effectiveness of this Agreement is subject to the conditions precedent that the Administrator and each Purchaser Agent shall have received the following items, each in form and substance (including the date thereof) reasonably satisfactory to the Administrator and each such Purchaser Agent:</w:t>
      </w:r>
    </w:p>
    <w:p>
      <w:pPr>
        <w:spacing w:after="0" w:line="68" w:lineRule="exact"/>
        <w:rPr>
          <w:sz w:val="20"/>
          <w:szCs w:val="20"/>
          <w:color w:val="auto"/>
        </w:rPr>
      </w:pPr>
    </w:p>
    <w:p>
      <w:pPr>
        <w:ind w:left="-20" w:right="560" w:firstLine="436"/>
        <w:spacing w:after="0" w:line="282" w:lineRule="auto"/>
        <w:tabs>
          <w:tab w:leader="none" w:pos="665"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documents, agreements (in fully executed form), opinions of counsel, lien search results, UCC filings, certificates and other deliverables listed on the closing memorandum attached as Schedule XI hereto.</w:t>
      </w:r>
    </w:p>
    <w:p>
      <w:pPr>
        <w:spacing w:after="0" w:line="53"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conditions set forth in Exhibit C to the Commitment Letter has been, or substantially concurrently herewith will be, satisfied.</w:t>
      </w:r>
    </w:p>
    <w:p>
      <w:pPr>
        <w:spacing w:after="0" w:line="117" w:lineRule="exact"/>
        <w:rPr>
          <w:rFonts w:ascii="Times New Roman" w:cs="Times New Roman" w:eastAsia="Times New Roman" w:hAnsi="Times New Roman"/>
          <w:sz w:val="18"/>
          <w:szCs w:val="18"/>
          <w:color w:val="auto"/>
        </w:rPr>
      </w:pPr>
    </w:p>
    <w:p>
      <w:pPr>
        <w:ind w:left="-20" w:right="200" w:firstLine="436"/>
        <w:spacing w:after="0" w:line="261" w:lineRule="auto"/>
        <w:tabs>
          <w:tab w:leader="none" w:pos="665"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Evidence of payment by the Seller of all accrued and unpaid fees (including those contemplated by each Purchaser Group Fee Letter and the Commitment Letter), costs and expenses to the extent then due and payable on the Closing Date, including any such costs, fees and expenses arising under or referenced in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of this Agreement, the Commitment Letter and the Purchaser Group Fee Letter, to the extent invoiced at least two Business Days prior to the Closing Date.</w:t>
      </w:r>
    </w:p>
    <w:p>
      <w:pPr>
        <w:spacing w:after="0" w:line="71" w:lineRule="exact"/>
        <w:rPr>
          <w:rFonts w:ascii="Times New Roman" w:cs="Times New Roman" w:eastAsia="Times New Roman" w:hAnsi="Times New Roman"/>
          <w:sz w:val="18"/>
          <w:szCs w:val="18"/>
          <w:color w:val="auto"/>
        </w:rPr>
      </w:pPr>
    </w:p>
    <w:p>
      <w:pPr>
        <w:ind w:left="-20" w:right="920" w:firstLine="436"/>
        <w:spacing w:after="0" w:line="282" w:lineRule="auto"/>
        <w:tabs>
          <w:tab w:leader="none" w:pos="675"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Anixter Acquisition (as defined in the Credit Agreement) shall have been consummated or will be consummated substantially concurrently with any Purchase made hereunder on the Closing Date.</w:t>
      </w:r>
    </w:p>
    <w:p>
      <w:pPr>
        <w:spacing w:after="0" w:line="53" w:lineRule="exact"/>
        <w:rPr>
          <w:rFonts w:ascii="Times New Roman" w:cs="Times New Roman" w:eastAsia="Times New Roman" w:hAnsi="Times New Roman"/>
          <w:sz w:val="18"/>
          <w:szCs w:val="18"/>
          <w:color w:val="auto"/>
        </w:rPr>
      </w:pPr>
    </w:p>
    <w:p>
      <w:pPr>
        <w:ind w:left="-20" w:right="20" w:firstLine="436"/>
        <w:spacing w:after="0" w:line="282" w:lineRule="auto"/>
        <w:tabs>
          <w:tab w:leader="none" w:pos="665"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completed pro forma Information Package after giving effect to the transactions contemplated by the Transaction Documents to occur on the Closing Date.</w:t>
      </w:r>
    </w:p>
    <w:p>
      <w:pPr>
        <w:spacing w:after="0" w:line="54" w:lineRule="exact"/>
        <w:rPr>
          <w:sz w:val="20"/>
          <w:szCs w:val="20"/>
          <w:color w:val="auto"/>
        </w:rPr>
      </w:pPr>
    </w:p>
    <w:p>
      <w:pPr>
        <w:ind w:left="-20" w:right="540" w:firstLine="436"/>
        <w:spacing w:after="0" w:line="282" w:lineRule="auto"/>
        <w:tabs>
          <w:tab w:leader="none" w:pos="60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Precedent to All Purchases and Reinvestments</w:t>
      </w:r>
      <w:r>
        <w:rPr>
          <w:rFonts w:ascii="Times New Roman" w:cs="Times New Roman" w:eastAsia="Times New Roman" w:hAnsi="Times New Roman"/>
          <w:sz w:val="18"/>
          <w:szCs w:val="18"/>
          <w:color w:val="auto"/>
        </w:rPr>
        <w:t>. Each Purchase (including the initial Purchase) and each reinvestment shall be subject to the further conditions precedent that:</w:t>
      </w:r>
    </w:p>
    <w:p>
      <w:pPr>
        <w:spacing w:after="0" w:line="54" w:lineRule="exact"/>
        <w:rPr>
          <w:sz w:val="20"/>
          <w:szCs w:val="20"/>
          <w:color w:val="auto"/>
        </w:rPr>
      </w:pPr>
    </w:p>
    <w:p>
      <w:pPr>
        <w:ind w:left="-20" w:right="240" w:firstLine="436"/>
        <w:spacing w:after="0" w:line="266" w:lineRule="auto"/>
        <w:tabs>
          <w:tab w:leader="none" w:pos="665"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each purchase, the Servicer shall have delivered to the Administrator and each Purchaser Agent on or before such purchase, in form and substance satisfactory to the Administrator and such Purchaser Agent, a completed pro forma Information Package to reflect the level of Investment with respect to each Purchaser Group and related reserves after such subsequent purchase; and</w:t>
      </w:r>
    </w:p>
    <w:p>
      <w:pPr>
        <w:spacing w:after="0" w:line="67" w:lineRule="exact"/>
        <w:rPr>
          <w:rFonts w:ascii="Times New Roman" w:cs="Times New Roman" w:eastAsia="Times New Roman" w:hAnsi="Times New Roman"/>
          <w:sz w:val="18"/>
          <w:szCs w:val="18"/>
          <w:color w:val="auto"/>
        </w:rPr>
      </w:pPr>
    </w:p>
    <w:p>
      <w:pPr>
        <w:ind w:left="-20" w:right="560" w:firstLine="436"/>
        <w:spacing w:after="0" w:line="282" w:lineRule="auto"/>
        <w:tabs>
          <w:tab w:leader="none" w:pos="675"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such purchase or reinvestment the following statements shall be true (and acceptance of the proceeds of such purchase or reinvestment shall be deemed a representation and warranty by the Seller that such statements are then true):</w:t>
      </w:r>
    </w:p>
    <w:p>
      <w:pPr>
        <w:spacing w:after="0" w:line="54" w:lineRule="exact"/>
        <w:rPr>
          <w:sz w:val="20"/>
          <w:szCs w:val="20"/>
          <w:color w:val="auto"/>
        </w:rPr>
      </w:pPr>
    </w:p>
    <w:p>
      <w:pPr>
        <w:ind w:left="-20" w:firstLine="436"/>
        <w:spacing w:after="0" w:line="266" w:lineRule="auto"/>
        <w:tabs>
          <w:tab w:leader="none" w:pos="635"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contained in </w:t>
      </w:r>
      <w:r>
        <w:rPr>
          <w:rFonts w:ascii="Times New Roman" w:cs="Times New Roman" w:eastAsia="Times New Roman" w:hAnsi="Times New Roman"/>
          <w:sz w:val="18"/>
          <w:szCs w:val="18"/>
          <w:u w:val="single" w:color="auto"/>
          <w:color w:val="auto"/>
        </w:rPr>
        <w:t>Exhibit III</w:t>
      </w:r>
      <w:r>
        <w:rPr>
          <w:rFonts w:ascii="Times New Roman" w:cs="Times New Roman" w:eastAsia="Times New Roman" w:hAnsi="Times New Roman"/>
          <w:sz w:val="18"/>
          <w:szCs w:val="18"/>
          <w:color w:val="auto"/>
        </w:rPr>
        <w:t xml:space="preserve"> to this Agreement are true and correct in all material respects on and as of the date of such purchase or reinvestment as though made on and as of such date; provided that if such representation and warranty relates solely to an earlier date, such representation and warranty was true and correct in all material respects as of such earlier date;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0980"/>
          </w:cols>
          <w:pgMar w:left="460" w:top="270" w:right="459" w:bottom="1440" w:gutter="0" w:footer="0" w:header="0"/>
        </w:sectPr>
      </w:pPr>
    </w:p>
    <w:bookmarkStart w:id="244" w:name="page245"/>
    <w:bookmarkEnd w:id="244"/>
    <w:p>
      <w:pPr>
        <w:ind w:left="-436" w:firstLine="436"/>
        <w:spacing w:after="0" w:line="282" w:lineRule="auto"/>
        <w:tabs>
          <w:tab w:leader="none" w:pos="269"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event has occurred and is continuing, or would result from such purchase or reinvestment, that constitutes a Termination Event or an Unmatured Termination Event;</w:t>
      </w:r>
    </w:p>
    <w:p>
      <w:pPr>
        <w:spacing w:after="0" w:line="53"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Investment shall not exceed the Purchase Limit, and the Purchased Interest shall not exceed 100%; and</w:t>
      </w:r>
    </w:p>
    <w:p>
      <w:pPr>
        <w:spacing w:after="0" w:line="117"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Facility Termination Date has not occurred.</w:t>
      </w:r>
    </w:p>
    <w:p>
      <w:pPr>
        <w:spacing w:after="0" w:line="15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0024"/>
          </w:cols>
          <w:pgMar w:left="876" w:top="270" w:right="999" w:bottom="1440" w:gutter="0" w:footer="0" w:header="0"/>
        </w:sectPr>
      </w:pPr>
    </w:p>
    <w:bookmarkStart w:id="245" w:name="page246"/>
    <w:bookmarkEnd w:id="245"/>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III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Representations and Warranties of the Seller</w:t>
      </w:r>
      <w:r>
        <w:rPr>
          <w:rFonts w:ascii="Times New Roman" w:cs="Times New Roman" w:eastAsia="Times New Roman" w:hAnsi="Times New Roman"/>
          <w:sz w:val="18"/>
          <w:szCs w:val="18"/>
          <w:color w:val="auto"/>
        </w:rPr>
        <w:t>. The Seller represents and warrants as follows:</w:t>
      </w:r>
    </w:p>
    <w:p>
      <w:pPr>
        <w:spacing w:after="0" w:line="117" w:lineRule="exact"/>
        <w:rPr>
          <w:sz w:val="20"/>
          <w:szCs w:val="20"/>
          <w:color w:val="auto"/>
        </w:rPr>
      </w:pPr>
    </w:p>
    <w:p>
      <w:pPr>
        <w:ind w:left="4" w:right="580" w:firstLine="436"/>
        <w:spacing w:after="0" w:line="266" w:lineRule="auto"/>
        <w:tabs>
          <w:tab w:leader="none" w:pos="689"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is a corporation duly incorporated, validly existing and in good standing under the laws of the State of Delaware, and is duly qualified to do business and is in good standing as a foreign corporation in every jurisdiction where the nature of its business requires it to be so qualified, except where the failure to be so qualified would not have a Material Adverse Effect.</w:t>
      </w:r>
    </w:p>
    <w:p>
      <w:pPr>
        <w:spacing w:after="0" w:line="67" w:lineRule="exact"/>
        <w:rPr>
          <w:rFonts w:ascii="Times New Roman" w:cs="Times New Roman" w:eastAsia="Times New Roman" w:hAnsi="Times New Roman"/>
          <w:sz w:val="18"/>
          <w:szCs w:val="18"/>
          <w:color w:val="auto"/>
        </w:rPr>
      </w:pPr>
    </w:p>
    <w:p>
      <w:pPr>
        <w:ind w:left="4" w:right="40" w:firstLine="436"/>
        <w:spacing w:after="0" w:line="272" w:lineRule="auto"/>
        <w:tabs>
          <w:tab w:leader="none" w:pos="699" w:val="left"/>
        </w:tabs>
        <w:numPr>
          <w:ilvl w:val="1"/>
          <w:numId w:val="2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delivery and performance by the Seller of this Agreement and the other Transaction Documents to which it is a party, including its use of the proceeds of purchases and reinvestments: (i) are within its corporate powers; (ii) have been duly authorized by all necessary corporate action; (iii) do not contravene or result in a default under or conflict with: (A) its charter or by-laws, (B) any law, rule or regulation applicable to it,</w:t>
      </w:r>
    </w:p>
    <w:p>
      <w:pPr>
        <w:spacing w:after="0" w:line="1" w:lineRule="exact"/>
        <w:rPr>
          <w:rFonts w:ascii="Times New Roman" w:cs="Times New Roman" w:eastAsia="Times New Roman" w:hAnsi="Times New Roman"/>
          <w:sz w:val="17"/>
          <w:szCs w:val="17"/>
          <w:color w:val="auto"/>
        </w:rPr>
      </w:pPr>
    </w:p>
    <w:p>
      <w:pPr>
        <w:ind w:left="284" w:hanging="284"/>
        <w:spacing w:after="0"/>
        <w:tabs>
          <w:tab w:leader="none" w:pos="284"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indenture, loan agreement, mortgage, deed of trust or other material agreement or instrument to which it is a party or by which it is bound, or</w:t>
      </w:r>
    </w:p>
    <w:p>
      <w:pPr>
        <w:spacing w:after="0" w:line="9" w:lineRule="exact"/>
        <w:rPr>
          <w:rFonts w:ascii="Times New Roman" w:cs="Times New Roman" w:eastAsia="Times New Roman" w:hAnsi="Times New Roman"/>
          <w:sz w:val="18"/>
          <w:szCs w:val="18"/>
          <w:color w:val="auto"/>
        </w:rPr>
      </w:pPr>
    </w:p>
    <w:p>
      <w:pPr>
        <w:ind w:left="4" w:hanging="4"/>
        <w:spacing w:after="0" w:line="255" w:lineRule="auto"/>
        <w:tabs>
          <w:tab w:leader="none" w:pos="299"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writ, judgment, award, injunction or decree binding on or affecting it or any of its property; and (iv) do not result in or require the creation of any Adverse Claim upon or with respect to any of its properties. This Agreement and the other Transaction Documents to which it is a party have been duly executed and delivered by the Seller.</w:t>
      </w:r>
    </w:p>
    <w:p>
      <w:pPr>
        <w:spacing w:after="0" w:line="77" w:lineRule="exact"/>
        <w:rPr>
          <w:rFonts w:ascii="Times New Roman" w:cs="Times New Roman" w:eastAsia="Times New Roman" w:hAnsi="Times New Roman"/>
          <w:sz w:val="18"/>
          <w:szCs w:val="18"/>
          <w:color w:val="auto"/>
        </w:rPr>
      </w:pPr>
    </w:p>
    <w:p>
      <w:pPr>
        <w:ind w:left="4" w:right="240" w:firstLine="436"/>
        <w:spacing w:after="0" w:line="261" w:lineRule="auto"/>
        <w:tabs>
          <w:tab w:leader="none" w:pos="689"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authorization, approval or other action by, and no notice to or filing with, any Governmental Authority or other Person is required for its due execution, delivery and performance by the Seller of this Agreement or any other Transaction Document to which it is a party, other than the Uniform Commercial Code filings referred to in </w:t>
      </w:r>
      <w:r>
        <w:rPr>
          <w:rFonts w:ascii="Times New Roman" w:cs="Times New Roman" w:eastAsia="Times New Roman" w:hAnsi="Times New Roman"/>
          <w:sz w:val="18"/>
          <w:szCs w:val="18"/>
          <w:u w:val="single" w:color="auto"/>
          <w:color w:val="auto"/>
        </w:rPr>
        <w:t>Exhibit II</w:t>
      </w:r>
      <w:r>
        <w:rPr>
          <w:rFonts w:ascii="Times New Roman" w:cs="Times New Roman" w:eastAsia="Times New Roman" w:hAnsi="Times New Roman"/>
          <w:sz w:val="18"/>
          <w:szCs w:val="18"/>
          <w:color w:val="auto"/>
        </w:rPr>
        <w:t xml:space="preserve"> to this Agreement, all of which shall have been filed on or before the date of the first purchase hereunder.</w:t>
      </w:r>
    </w:p>
    <w:p>
      <w:pPr>
        <w:spacing w:after="0" w:line="71" w:lineRule="exact"/>
        <w:rPr>
          <w:rFonts w:ascii="Times New Roman" w:cs="Times New Roman" w:eastAsia="Times New Roman" w:hAnsi="Times New Roman"/>
          <w:sz w:val="18"/>
          <w:szCs w:val="18"/>
          <w:color w:val="auto"/>
        </w:rPr>
      </w:pPr>
    </w:p>
    <w:p>
      <w:pPr>
        <w:ind w:left="4" w:right="20" w:firstLine="436"/>
        <w:spacing w:after="0" w:line="261" w:lineRule="auto"/>
        <w:tabs>
          <w:tab w:leader="none" w:pos="699"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this Agreement and the other Transaction Documents to which the Seller is a party constitutes its legal, valid and binding obligation of the Seller enforceable against the Seller in accordance with its terms, except as enforceability may be limited by bankruptcy, insolvency, reorganization or other similar laws from time to time in effect affecting the enforcement of creditors’ rights generally and by general principles of equity, regardless of whether such enforceability is considered in a proceeding in equity or at law.</w:t>
      </w:r>
    </w:p>
    <w:p>
      <w:pPr>
        <w:spacing w:after="0" w:line="71" w:lineRule="exact"/>
        <w:rPr>
          <w:rFonts w:ascii="Times New Roman" w:cs="Times New Roman" w:eastAsia="Times New Roman" w:hAnsi="Times New Roman"/>
          <w:sz w:val="18"/>
          <w:szCs w:val="18"/>
          <w:color w:val="auto"/>
        </w:rPr>
      </w:pPr>
    </w:p>
    <w:p>
      <w:pPr>
        <w:ind w:left="4" w:right="720" w:firstLine="436"/>
        <w:spacing w:after="0" w:line="282" w:lineRule="auto"/>
        <w:tabs>
          <w:tab w:leader="none" w:pos="689"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pending or, to Seller’s best knowledge, threatened action or proceeding affecting Seller or any of its properties before any Governmental Authority or arbitrator.</w:t>
      </w:r>
    </w:p>
    <w:p>
      <w:pPr>
        <w:spacing w:after="0" w:line="53" w:lineRule="exact"/>
        <w:rPr>
          <w:rFonts w:ascii="Times New Roman" w:cs="Times New Roman" w:eastAsia="Times New Roman" w:hAnsi="Times New Roman"/>
          <w:sz w:val="18"/>
          <w:szCs w:val="18"/>
          <w:color w:val="auto"/>
        </w:rPr>
      </w:pPr>
    </w:p>
    <w:p>
      <w:pPr>
        <w:ind w:left="4" w:right="180" w:firstLine="436"/>
        <w:spacing w:after="0" w:line="282" w:lineRule="auto"/>
        <w:tabs>
          <w:tab w:leader="none" w:pos="669"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proceeds of any Purchase or reinvestment will be used to acquire any equity security of a class that is registered pursuant to Section 12 of the Securities Exchange Act of 1934.</w:t>
      </w:r>
    </w:p>
    <w:p>
      <w:pPr>
        <w:spacing w:after="0" w:line="53" w:lineRule="exact"/>
        <w:rPr>
          <w:rFonts w:ascii="Times New Roman" w:cs="Times New Roman" w:eastAsia="Times New Roman" w:hAnsi="Times New Roman"/>
          <w:sz w:val="18"/>
          <w:szCs w:val="18"/>
          <w:color w:val="auto"/>
        </w:rPr>
      </w:pPr>
    </w:p>
    <w:p>
      <w:pPr>
        <w:ind w:left="4" w:right="340" w:firstLine="436"/>
        <w:spacing w:after="0" w:line="261" w:lineRule="auto"/>
        <w:tabs>
          <w:tab w:leader="none" w:pos="699"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is the legal and beneficial owner of the Pool Receivables and Related Security, free and clear of any Adverse Claim. Upon each purchase or reinvestment, Administrator (for the benefit of each Purchaser) shall acquire a valid and enforceable perfected undivided percentage ownership or security interest, to the extent of the Purchased Interest, in each Pool Receivable then existing or thereafter arising and in the Related Security, Collections and other</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III-1</w:t>
      </w:r>
    </w:p>
    <w:p>
      <w:pPr>
        <w:sectPr>
          <w:pgSz w:w="11900" w:h="16838" w:orient="portrait"/>
          <w:cols w:equalWidth="0" w:num="1">
            <w:col w:w="11004"/>
          </w:cols>
          <w:pgMar w:left="436" w:top="270" w:right="459" w:bottom="1440" w:gutter="0" w:footer="0" w:header="0"/>
        </w:sectPr>
      </w:pPr>
    </w:p>
    <w:bookmarkStart w:id="246" w:name="page247"/>
    <w:bookmarkEnd w:id="246"/>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proceeds with respect thereto, free and clear of any Adverse Claim. This Agreement creates a security interest in favor of the Administrator (for the benefit of each Purchaser) in the Pool Assets, and the Administrator (for the benefit of each Purchaser) has a first priority perfected security interest in the Pool Assets, free and clear of any Adverse Claims. No effective financing statement or other instrument similar in effect covering any Pool Asset is on file in any recording office, except those filed in favor of the Seller pursuant to the Sale Agreement and the Administrator (for the benefit of each Purchaser) relating to this Agreement, or in respect of which the Administrator has received evidence satisfactory to the Administrator of acknowledgment copies, or time-stamped receipt copies, of proper financing statements releasing or terminating, as applicable, all security interests and other rights of any Person in such Pool Asset.</w:t>
      </w:r>
    </w:p>
    <w:p>
      <w:pPr>
        <w:spacing w:after="0" w:line="81" w:lineRule="exact"/>
        <w:rPr>
          <w:sz w:val="20"/>
          <w:szCs w:val="20"/>
          <w:color w:val="auto"/>
        </w:rPr>
      </w:pPr>
    </w:p>
    <w:p>
      <w:pPr>
        <w:ind w:left="4" w:firstLine="436"/>
        <w:spacing w:after="0" w:line="256" w:lineRule="auto"/>
        <w:tabs>
          <w:tab w:leader="none" w:pos="699"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Information Package or Daily Report (if prepared by the Seller or one of its Affiliates, or to the extent that information contained therein is supplied by the Seller or an Affiliate), information, exhibit, financial statement, document, book, record or report furnished or to be furnished at any time by or on behalf of the Seller to the Administrator or any Purchaser Agent in connection with this Agreement or any other Transaction Document to which it is a party is or will be, when taken as a whole, complete and accurate in all material respects as of its date or as of the date so furnished, and does not and will not, when taken as a whole, contain any material misstatement of fact or omit to state a material fact or any fact necessary to make the statements contained therein, in light of the circumstances under which they were made, not materially misleading.</w:t>
      </w:r>
    </w:p>
    <w:p>
      <w:pPr>
        <w:spacing w:after="0" w:line="79"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(x) principal place of business and chief executive office and the office where it keeps its records concerning the Receivables and</w:t>
      </w:r>
    </w:p>
    <w:p>
      <w:pPr>
        <w:spacing w:after="0" w:line="27" w:lineRule="exact"/>
        <w:rPr>
          <w:rFonts w:ascii="Times New Roman" w:cs="Times New Roman" w:eastAsia="Times New Roman" w:hAnsi="Times New Roman"/>
          <w:sz w:val="18"/>
          <w:szCs w:val="18"/>
          <w:color w:val="auto"/>
        </w:rPr>
      </w:pPr>
    </w:p>
    <w:p>
      <w:pPr>
        <w:ind w:left="4" w:right="300" w:hanging="4"/>
        <w:spacing w:after="0" w:line="260" w:lineRule="auto"/>
        <w:tabs>
          <w:tab w:leader="none" w:pos="259"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“location” (as such term is used in the UCC), are, in each case, located at the addresses referred to in </w:t>
      </w:r>
      <w:r>
        <w:rPr>
          <w:rFonts w:ascii="Times New Roman" w:cs="Times New Roman" w:eastAsia="Times New Roman" w:hAnsi="Times New Roman"/>
          <w:sz w:val="18"/>
          <w:szCs w:val="18"/>
          <w:u w:val="single" w:color="auto"/>
          <w:color w:val="auto"/>
        </w:rPr>
        <w:t>Sections 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Exhibit IV</w:t>
      </w:r>
      <w:r>
        <w:rPr>
          <w:rFonts w:ascii="Times New Roman" w:cs="Times New Roman" w:eastAsia="Times New Roman" w:hAnsi="Times New Roman"/>
          <w:sz w:val="18"/>
          <w:szCs w:val="18"/>
          <w:color w:val="auto"/>
        </w:rPr>
        <w:t xml:space="preserve"> to this Agreement.</w:t>
      </w:r>
    </w:p>
    <w:p>
      <w:pPr>
        <w:spacing w:after="0" w:line="73" w:lineRule="exact"/>
        <w:rPr>
          <w:rFonts w:ascii="Times New Roman" w:cs="Times New Roman" w:eastAsia="Times New Roman" w:hAnsi="Times New Roman"/>
          <w:sz w:val="18"/>
          <w:szCs w:val="18"/>
          <w:color w:val="auto"/>
        </w:rPr>
      </w:pPr>
    </w:p>
    <w:p>
      <w:pPr>
        <w:ind w:left="4" w:right="40" w:firstLine="436"/>
        <w:spacing w:after="0" w:line="254" w:lineRule="auto"/>
        <w:tabs>
          <w:tab w:leader="none" w:pos="659"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names and addresses of all the Lock-Box Banks, together with the account numbers of the Lock-Box Accounts at such Lock-Box Banks, are specified in the Lock-Box Schedule Letter Agreement (or at such other Lock-Box Banks and/or with such other Lock-Box Accounts as have been notified to the Administrator in accordance with this Agreement) and all Lock-Box Accounts are subject to Lock-Box Agreements (except as otherwise agreed to in writing by the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so long as the Exception Account Conditions are then satisfied with respect to an Exception Account, such Exception Account need not be subject to a Lock-Box Agreement. Seller has not granted to any Person, other than the Administrator as contemplated by this Agreement, dominion and control of any Lock-Box Account, or the right to take dominion and control of any such account at a future time or upon the occurrence of a future event. No Lock-Box Account is subject to any Adverse Claim. The Seller is not in violation of any order of any court, arbitrator or Governmental Authority.</w:t>
      </w:r>
    </w:p>
    <w:p>
      <w:pPr>
        <w:spacing w:after="0" w:line="83"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Seller nor any of its Affiliates has any direct or indirect ownership or other financial interest in any Purchaser.</w:t>
      </w:r>
    </w:p>
    <w:p>
      <w:pPr>
        <w:spacing w:after="0" w:line="117" w:lineRule="exact"/>
        <w:rPr>
          <w:rFonts w:ascii="Times New Roman" w:cs="Times New Roman" w:eastAsia="Times New Roman" w:hAnsi="Times New Roman"/>
          <w:sz w:val="18"/>
          <w:szCs w:val="18"/>
          <w:color w:val="auto"/>
        </w:rPr>
      </w:pPr>
    </w:p>
    <w:p>
      <w:pPr>
        <w:jc w:val="both"/>
        <w:ind w:left="4" w:right="240" w:firstLine="436"/>
        <w:spacing w:after="0" w:line="266" w:lineRule="auto"/>
        <w:tabs>
          <w:tab w:leader="none" w:pos="659"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proceeds of any Purchase or reinvestment will be used for any purpose that violates any Applicable Law. No part of the proceeds of any Purchase or reinvestment will be used, whether directly or indirectly, for any purpose that entails a violation of any of the Regulations of the Federal Reserve Board, including Regulations T, U and X.</w:t>
      </w:r>
    </w:p>
    <w:p>
      <w:pPr>
        <w:spacing w:after="0" w:line="108"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III-2</w:t>
      </w:r>
    </w:p>
    <w:p>
      <w:pPr>
        <w:sectPr>
          <w:pgSz w:w="11900" w:h="16838" w:orient="portrait"/>
          <w:cols w:equalWidth="0" w:num="1">
            <w:col w:w="10944"/>
          </w:cols>
          <w:pgMar w:left="436" w:top="270" w:right="519" w:bottom="1440" w:gutter="0" w:footer="0" w:header="0"/>
        </w:sectPr>
      </w:pPr>
    </w:p>
    <w:bookmarkStart w:id="247" w:name="page248"/>
    <w:bookmarkEnd w:id="247"/>
    <w:p>
      <w:pPr>
        <w:ind w:left="740" w:hanging="304"/>
        <w:spacing w:after="0"/>
        <w:tabs>
          <w:tab w:leader="none" w:pos="74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Pool Receivable included as an Eligible Receivable in the calculation of the Net Receivables Pool Balance is an Eligible Receivable.</w:t>
      </w:r>
    </w:p>
    <w:p>
      <w:pPr>
        <w:spacing w:after="0" w:line="117" w:lineRule="exact"/>
        <w:rPr>
          <w:rFonts w:ascii="Times New Roman" w:cs="Times New Roman" w:eastAsia="Times New Roman" w:hAnsi="Times New Roman"/>
          <w:sz w:val="18"/>
          <w:szCs w:val="18"/>
          <w:color w:val="auto"/>
        </w:rPr>
      </w:pPr>
    </w:p>
    <w:p>
      <w:pPr>
        <w:jc w:val="both"/>
        <w:ind w:right="220" w:firstLine="436"/>
        <w:spacing w:after="0" w:line="266" w:lineRule="auto"/>
        <w:tabs>
          <w:tab w:leader="none" w:pos="695"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has occurred and is continuing that constitutes a Termination Event or an Unmatured Termination Event and no event would result from a purchase in respect of, or reinvestment in respect of, the Purchased Interest or from the application of the proceeds therefrom that constitutes a Termination Event or an Unmatured Termination Event.</w:t>
      </w:r>
    </w:p>
    <w:p>
      <w:pPr>
        <w:spacing w:after="0" w:line="67" w:lineRule="exact"/>
        <w:rPr>
          <w:rFonts w:ascii="Times New Roman" w:cs="Times New Roman" w:eastAsia="Times New Roman" w:hAnsi="Times New Roman"/>
          <w:sz w:val="18"/>
          <w:szCs w:val="18"/>
          <w:color w:val="auto"/>
        </w:rPr>
      </w:pPr>
    </w:p>
    <w:p>
      <w:pPr>
        <w:ind w:right="380" w:firstLine="436"/>
        <w:spacing w:after="0" w:line="282" w:lineRule="auto"/>
        <w:tabs>
          <w:tab w:leader="none" w:pos="695"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has accounted for each sale of undivided percentage ownership interests in Receivables in its books and financial statements as sales, consistent with generally accepted accounting principles.</w:t>
      </w:r>
    </w:p>
    <w:p>
      <w:pPr>
        <w:spacing w:after="0" w:line="53" w:lineRule="exact"/>
        <w:rPr>
          <w:rFonts w:ascii="Times New Roman" w:cs="Times New Roman" w:eastAsia="Times New Roman" w:hAnsi="Times New Roman"/>
          <w:sz w:val="18"/>
          <w:szCs w:val="18"/>
          <w:color w:val="auto"/>
        </w:rPr>
      </w:pPr>
    </w:p>
    <w:p>
      <w:pPr>
        <w:ind w:right="540" w:firstLine="436"/>
        <w:spacing w:after="0" w:line="282" w:lineRule="auto"/>
        <w:tabs>
          <w:tab w:leader="none" w:pos="695"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has complied in all material respects with the Credit and Collection Policy of each Originator with regard to each Receivable originated by such Originator.</w:t>
      </w:r>
    </w:p>
    <w:p>
      <w:pPr>
        <w:spacing w:after="0" w:line="53" w:lineRule="exact"/>
        <w:rPr>
          <w:rFonts w:ascii="Times New Roman" w:cs="Times New Roman" w:eastAsia="Times New Roman" w:hAnsi="Times New Roman"/>
          <w:sz w:val="18"/>
          <w:szCs w:val="18"/>
          <w:color w:val="auto"/>
        </w:rPr>
      </w:pPr>
    </w:p>
    <w:p>
      <w:pPr>
        <w:ind w:right="360" w:firstLine="436"/>
        <w:spacing w:after="0" w:line="282" w:lineRule="auto"/>
        <w:tabs>
          <w:tab w:leader="none" w:pos="695"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has complied in all material respects with all of the terms, covenants and agreements contained in this Agreement and the other Transaction Documents that are applicable to it and all laws, rules, regulations and orders that are applicable to it.</w:t>
      </w:r>
    </w:p>
    <w:p>
      <w:pPr>
        <w:spacing w:after="0" w:line="53" w:lineRule="exact"/>
        <w:rPr>
          <w:rFonts w:ascii="Times New Roman" w:cs="Times New Roman" w:eastAsia="Times New Roman" w:hAnsi="Times New Roman"/>
          <w:sz w:val="18"/>
          <w:szCs w:val="18"/>
          <w:color w:val="auto"/>
        </w:rPr>
      </w:pPr>
    </w:p>
    <w:p>
      <w:pPr>
        <w:ind w:right="20" w:firstLine="436"/>
        <w:spacing w:after="0" w:line="261" w:lineRule="auto"/>
        <w:tabs>
          <w:tab w:leader="none" w:pos="665"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Seller’s complete corporate name is set forth in the preamble to this Agreement, and it does not use and has not during the last five years used any other corporate name, trade name, doing-business name or fictitious name, except as set forth on </w:t>
      </w:r>
      <w:r>
        <w:rPr>
          <w:rFonts w:ascii="Times New Roman" w:cs="Times New Roman" w:eastAsia="Times New Roman" w:hAnsi="Times New Roman"/>
          <w:sz w:val="18"/>
          <w:szCs w:val="18"/>
          <w:u w:val="single" w:color="auto"/>
          <w:color w:val="auto"/>
        </w:rPr>
        <w:t>Schedule III</w:t>
      </w:r>
      <w:r>
        <w:rPr>
          <w:rFonts w:ascii="Times New Roman" w:cs="Times New Roman" w:eastAsia="Times New Roman" w:hAnsi="Times New Roman"/>
          <w:sz w:val="18"/>
          <w:szCs w:val="18"/>
          <w:color w:val="auto"/>
        </w:rPr>
        <w:t xml:space="preserve"> to this Agreement and except for names first used after the date of this Agreement and set forth in a notice delivered to the Administrator pursuant to </w:t>
      </w:r>
      <w:r>
        <w:rPr>
          <w:rFonts w:ascii="Times New Roman" w:cs="Times New Roman" w:eastAsia="Times New Roman" w:hAnsi="Times New Roman"/>
          <w:sz w:val="18"/>
          <w:szCs w:val="18"/>
          <w:u w:val="single" w:color="auto"/>
          <w:color w:val="auto"/>
        </w:rPr>
        <w:t>Section 1(k)(iv)</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Exhibit IV</w:t>
      </w:r>
      <w:r>
        <w:rPr>
          <w:rFonts w:ascii="Times New Roman" w:cs="Times New Roman" w:eastAsia="Times New Roman" w:hAnsi="Times New Roman"/>
          <w:sz w:val="18"/>
          <w:szCs w:val="18"/>
          <w:color w:val="auto"/>
        </w:rPr>
        <w:t xml:space="preserve"> to this Agreement.</w:t>
      </w:r>
    </w:p>
    <w:p>
      <w:pPr>
        <w:spacing w:after="0" w:line="71" w:lineRule="exact"/>
        <w:rPr>
          <w:rFonts w:ascii="Times New Roman" w:cs="Times New Roman" w:eastAsia="Times New Roman" w:hAnsi="Times New Roman"/>
          <w:sz w:val="18"/>
          <w:szCs w:val="18"/>
          <w:color w:val="auto"/>
        </w:rPr>
      </w:pPr>
    </w:p>
    <w:p>
      <w:pPr>
        <w:ind w:right="300" w:firstLine="436"/>
        <w:spacing w:after="0" w:line="258" w:lineRule="auto"/>
        <w:tabs>
          <w:tab w:leader="none" w:pos="675"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is not an “investment company,” or a company “controlled” by an “investment company” within the meaning of the Investment Company Act of 1940, as amended. The Seller is not a “covered fund” under Section 619 of the Dodd-Frank Wall Street Reform and Consumer Protection Act and the regulations implemented thereunder (the “</w:t>
      </w:r>
      <w:r>
        <w:rPr>
          <w:rFonts w:ascii="Times New Roman" w:cs="Times New Roman" w:eastAsia="Times New Roman" w:hAnsi="Times New Roman"/>
          <w:sz w:val="18"/>
          <w:szCs w:val="18"/>
          <w:u w:val="single" w:color="auto"/>
          <w:color w:val="auto"/>
        </w:rPr>
        <w:t>Volcker Rule</w:t>
      </w:r>
      <w:r>
        <w:rPr>
          <w:rFonts w:ascii="Times New Roman" w:cs="Times New Roman" w:eastAsia="Times New Roman" w:hAnsi="Times New Roman"/>
          <w:sz w:val="18"/>
          <w:szCs w:val="18"/>
          <w:color w:val="auto"/>
        </w:rPr>
        <w:t>”). In determining that the Seller is not a “covered fund” under the Volcker Rule, the Seller is entitled to rely on the exemption from the definition of “investment company” set forth in Section 3(c)(5)(A) or (B) of the Investment Company Act of 1940, as amended.</w:t>
      </w:r>
    </w:p>
    <w:p>
      <w:pPr>
        <w:spacing w:after="0" w:line="75" w:lineRule="exact"/>
        <w:rPr>
          <w:rFonts w:ascii="Times New Roman" w:cs="Times New Roman" w:eastAsia="Times New Roman" w:hAnsi="Times New Roman"/>
          <w:sz w:val="18"/>
          <w:szCs w:val="18"/>
          <w:color w:val="auto"/>
        </w:rPr>
      </w:pPr>
    </w:p>
    <w:p>
      <w:pPr>
        <w:jc w:val="both"/>
        <w:ind w:right="40" w:firstLine="436"/>
        <w:spacing w:after="0" w:line="266" w:lineRule="auto"/>
        <w:tabs>
          <w:tab w:leader="none" w:pos="655"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the consignments, inventory financings, or other arrangements covered by the financing statement specified in </w:t>
      </w:r>
      <w:r>
        <w:rPr>
          <w:rFonts w:ascii="Times New Roman" w:cs="Times New Roman" w:eastAsia="Times New Roman" w:hAnsi="Times New Roman"/>
          <w:sz w:val="18"/>
          <w:szCs w:val="18"/>
          <w:u w:val="single" w:color="auto"/>
          <w:color w:val="auto"/>
        </w:rPr>
        <w:t>Schedule VIII</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u w:val="single" w:color="auto"/>
          <w:color w:val="auto"/>
        </w:rPr>
        <w:t>Subject UCC</w:t>
      </w:r>
      <w:r>
        <w:rPr>
          <w:rFonts w:ascii="Times New Roman" w:cs="Times New Roman" w:eastAsia="Times New Roman" w:hAnsi="Times New Roman"/>
          <w:sz w:val="18"/>
          <w:szCs w:val="18"/>
          <w:color w:val="auto"/>
        </w:rPr>
        <w:t>”) relates or will relate to commingled goods or inventory the sale of which gives rise to any Receivable. The secured party set forth on the Subject UCC does not have, nor will it have, any Adverse Claim on, or with respect to, any Pool Receivables or Related Assets.</w:t>
      </w:r>
    </w:p>
    <w:p>
      <w:pPr>
        <w:spacing w:after="0" w:line="67" w:lineRule="exact"/>
        <w:rPr>
          <w:rFonts w:ascii="Times New Roman" w:cs="Times New Roman" w:eastAsia="Times New Roman" w:hAnsi="Times New Roman"/>
          <w:sz w:val="18"/>
          <w:szCs w:val="18"/>
          <w:color w:val="auto"/>
        </w:rPr>
      </w:pPr>
    </w:p>
    <w:p>
      <w:pPr>
        <w:ind w:firstLine="436"/>
        <w:spacing w:after="0" w:line="266" w:lineRule="auto"/>
        <w:tabs>
          <w:tab w:leader="none" w:pos="695"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Receivable transferred to the Seller under the Sale Agreement, Seller has given reasonably equivalent value to the Originator thereof in consideration therefor and such transfer was not made for or on account of an antecedent debt. No transfer by any Originator of any Receivable under the Sale Agreement is or may be voidable under any Section of the Bankruptcy Code.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III-3</w:t>
      </w:r>
    </w:p>
    <w:p>
      <w:pPr>
        <w:sectPr>
          <w:pgSz w:w="11900" w:h="16838" w:orient="portrait"/>
          <w:cols w:equalWidth="0" w:num="1">
            <w:col w:w="11000"/>
          </w:cols>
          <w:pgMar w:left="440" w:top="270" w:right="459" w:bottom="1440" w:gutter="0" w:footer="0" w:header="0"/>
        </w:sectPr>
      </w:pPr>
    </w:p>
    <w:bookmarkStart w:id="248" w:name="page249"/>
    <w:bookmarkEnd w:id="248"/>
    <w:p>
      <w:pPr>
        <w:ind w:right="20" w:firstLine="436"/>
        <w:spacing w:after="0" w:line="258" w:lineRule="auto"/>
        <w:tabs>
          <w:tab w:leader="none" w:pos="69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Contract with respect to each Receivable is effective to create, and has created, a legal, valid and binding obligation of the related Obligor to pay the Outstanding Balance of the Receivable created thereunder and any accrued interest thereon, enforceable against the Obligor in accordance with its terms, except as such enforcement may be limited by applicable bankruptcy, insolvency, reorganization or other similar laws relating to or limiting creditors’ rights generally and by general principles of equity (regardless of whether enforcement is sought in a proceeding in equity or at law).</w:t>
      </w:r>
    </w:p>
    <w:p>
      <w:pPr>
        <w:spacing w:after="0" w:line="75" w:lineRule="exact"/>
        <w:rPr>
          <w:rFonts w:ascii="Times New Roman" w:cs="Times New Roman" w:eastAsia="Times New Roman" w:hAnsi="Times New Roman"/>
          <w:sz w:val="18"/>
          <w:szCs w:val="18"/>
          <w:color w:val="auto"/>
        </w:rPr>
      </w:pPr>
    </w:p>
    <w:p>
      <w:pPr>
        <w:ind w:firstLine="436"/>
        <w:spacing w:after="0" w:line="266" w:lineRule="auto"/>
        <w:tabs>
          <w:tab w:leader="none" w:pos="73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its most recent fiscal year end, there has been no change in the business, operations, financial condition, properties or assets of the Seller which would have a Material Adverse Effect on its ability to perform its obligations under this Agreement or any other Transaction Document to which it is a party or materially and adversely affect the transactions contemplated under this Agreement or such other Transaction Documents.</w:t>
      </w:r>
    </w:p>
    <w:p>
      <w:pPr>
        <w:spacing w:after="0" w:line="6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right="400" w:firstLine="436"/>
        <w:spacing w:after="0" w:line="282" w:lineRule="auto"/>
        <w:tabs>
          <w:tab w:leader="none" w:pos="69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has not issued any LCR Securities, and the Seller is a consolidated subsidiary of WESCO under generally accepted accounting principles.</w:t>
      </w:r>
    </w:p>
    <w:p>
      <w:pPr>
        <w:spacing w:after="0" w:line="53" w:lineRule="exact"/>
        <w:rPr>
          <w:rFonts w:ascii="Times New Roman" w:cs="Times New Roman" w:eastAsia="Times New Roman" w:hAnsi="Times New Roman"/>
          <w:sz w:val="18"/>
          <w:szCs w:val="18"/>
          <w:color w:val="auto"/>
        </w:rPr>
      </w:pPr>
    </w:p>
    <w:p>
      <w:pPr>
        <w:ind w:right="60" w:firstLine="436"/>
        <w:spacing w:after="0" w:line="261" w:lineRule="auto"/>
        <w:tabs>
          <w:tab w:leader="none" w:pos="68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the Seller is an entity that is organized under the laws of the United States or of any state and at least 51% of whose common stock or analogous equity interest is owned directly or indirectly by a company listed on the New York Stock Exchange or the American Stock Exchange or designated as a NASDAQ National Market Security listed on the NASDAQ stock exchange and is excluded on that basis from the definition of “Legal Entity Customer” as defined in the Beneficial Ownership Regulation.</w:t>
      </w:r>
    </w:p>
    <w:p>
      <w:pPr>
        <w:spacing w:after="0" w:line="72" w:lineRule="exact"/>
        <w:rPr>
          <w:sz w:val="20"/>
          <w:szCs w:val="20"/>
          <w:color w:val="auto"/>
        </w:rPr>
      </w:pPr>
    </w:p>
    <w:p>
      <w:pPr>
        <w:ind w:right="80" w:firstLine="436"/>
        <w:spacing w:after="0" w:line="312" w:lineRule="auto"/>
        <w:tabs>
          <w:tab w:leader="none" w:pos="765" w:val="left"/>
        </w:tabs>
        <w:numPr>
          <w:ilvl w:val="0"/>
          <w:numId w:val="2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secured party set forth on the Subject Anixter UCC does not have, nor will it have, any Adverse Claim on, or with respect to, any Pool Receivables or Related Assets. No amount is owed by Anixter Inc. to the secured party set forth on the Subject Anixter UCC (or any successor thereto).</w:t>
      </w:r>
    </w:p>
    <w:p>
      <w:pPr>
        <w:spacing w:after="0" w:line="31" w:lineRule="exact"/>
        <w:rPr>
          <w:rFonts w:ascii="Times New Roman" w:cs="Times New Roman" w:eastAsia="Times New Roman" w:hAnsi="Times New Roman"/>
          <w:sz w:val="17"/>
          <w:szCs w:val="17"/>
          <w:color w:val="auto"/>
        </w:rPr>
      </w:pPr>
    </w:p>
    <w:p>
      <w:pPr>
        <w:ind w:right="160" w:firstLine="436"/>
        <w:spacing w:after="0" w:line="258" w:lineRule="auto"/>
        <w:tabs>
          <w:tab w:leader="none" w:pos="785"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 Covered Entity, nor any employees, officers, directors, affiliates of such Covered Entity, nor to the knowledge of Seller, any consultants, brokers, or agents acting on such Covered Entity’s behalf in connection with this Agreement: (i) is a Sanctioned Person; (ii) directly, or indirectly through any third party, is engaged in any transactions or other dealings with or for the benefit of any Sanctioned Person or Sanctioned Jurisdiction </w:t>
      </w:r>
      <w:r>
        <w:rPr>
          <w:rFonts w:ascii="Times New Roman" w:cs="Times New Roman" w:eastAsia="Times New Roman" w:hAnsi="Times New Roman"/>
          <w:sz w:val="18"/>
          <w:szCs w:val="18"/>
          <w:color w:val="0000FF"/>
        </w:rPr>
        <w:t>in violation of Sanctions</w:t>
      </w:r>
      <w:r>
        <w:rPr>
          <w:rFonts w:ascii="Times New Roman" w:cs="Times New Roman" w:eastAsia="Times New Roman" w:hAnsi="Times New Roman"/>
          <w:sz w:val="18"/>
          <w:szCs w:val="18"/>
          <w:color w:val="auto"/>
        </w:rPr>
        <w:t xml:space="preserve">, or any transactions or other dealings that otherwise are prohibited by any Anti-Terrorism Laws; (b) Pool Asset is </w:t>
      </w:r>
      <w:r>
        <w:rPr>
          <w:rFonts w:ascii="Times New Roman" w:cs="Times New Roman" w:eastAsia="Times New Roman" w:hAnsi="Times New Roman"/>
          <w:sz w:val="18"/>
          <w:szCs w:val="18"/>
          <w:color w:val="FF0000"/>
          <w:strike w:val="1"/>
        </w:rPr>
        <w:t>Embargoed</w:t>
      </w:r>
      <w:r>
        <w:rPr>
          <w:rFonts w:ascii="Times New Roman" w:cs="Times New Roman" w:eastAsia="Times New Roman" w:hAnsi="Times New Roman"/>
          <w:sz w:val="18"/>
          <w:szCs w:val="18"/>
          <w:u w:val="single" w:color="auto"/>
          <w:color w:val="0000FF"/>
        </w:rPr>
        <w:t>Blocked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Property.</w:t>
      </w:r>
    </w:p>
    <w:p>
      <w:pPr>
        <w:spacing w:after="0" w:line="75" w:lineRule="exact"/>
        <w:rPr>
          <w:rFonts w:ascii="Times New Roman" w:cs="Times New Roman" w:eastAsia="Times New Roman" w:hAnsi="Times New Roman"/>
          <w:sz w:val="18"/>
          <w:szCs w:val="18"/>
          <w:color w:val="auto"/>
        </w:rPr>
      </w:pPr>
    </w:p>
    <w:p>
      <w:pPr>
        <w:ind w:right="220" w:firstLine="436"/>
        <w:spacing w:after="0" w:line="266" w:lineRule="auto"/>
        <w:tabs>
          <w:tab w:leader="none" w:pos="765"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Covered Entity has, in the reasonable business judgment of Seller, (a) conducted its business in compliance with all Anti-Corruption Laws and (b) implemented and maintains policies and procedures designed to ensure compliance with such Anti-Corruption Laws, in each case, in all material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-621665</wp:posOffset>
            </wp:positionV>
            <wp:extent cx="114871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148715" cy="8255"/>
                    </a:xfrm>
                    <a:prstGeom prst="rect">
                      <a:avLst/>
                    </a:prstGeom>
                    <a:noFill/>
                  </pic:spPr>
                </pic:pic>
              </a:graphicData>
            </a:graphic>
          </wp:anchor>
        </w:drawing>
        <w:drawing>
          <wp:anchor simplePos="0" relativeHeight="251657728" behindDoc="1" locked="0" layoutInCell="0" allowOverlap="1">
            <wp:simplePos x="0" y="0"/>
            <wp:positionH relativeFrom="column">
              <wp:posOffset>530860</wp:posOffset>
            </wp:positionH>
            <wp:positionV relativeFrom="paragraph">
              <wp:posOffset>-655955</wp:posOffset>
            </wp:positionV>
            <wp:extent cx="114871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148715" cy="8255"/>
                    </a:xfrm>
                    <a:prstGeom prst="rect">
                      <a:avLst/>
                    </a:prstGeom>
                    <a:noFill/>
                  </pic:spPr>
                </pic:pic>
              </a:graphicData>
            </a:graphic>
          </wp:anchor>
        </w:drawing>
        <w:drawing>
          <wp:anchor simplePos="0" relativeHeight="251657728" behindDoc="1" locked="0" layoutInCell="0" allowOverlap="1">
            <wp:simplePos x="0" y="0"/>
            <wp:positionH relativeFrom="column">
              <wp:posOffset>520065</wp:posOffset>
            </wp:positionH>
            <wp:positionV relativeFrom="paragraph">
              <wp:posOffset>-484505</wp:posOffset>
            </wp:positionV>
            <wp:extent cx="38544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85445" cy="8255"/>
                    </a:xfrm>
                    <a:prstGeom prst="rect">
                      <a:avLst/>
                    </a:prstGeom>
                    <a:noFill/>
                  </pic:spPr>
                </pic:pic>
              </a:graphicData>
            </a:graphic>
          </wp:anchor>
        </w:drawing>
      </w:r>
    </w:p>
    <w:p>
      <w:pPr>
        <w:spacing w:after="0" w:line="156" w:lineRule="exact"/>
        <w:rPr>
          <w:sz w:val="20"/>
          <w:szCs w:val="20"/>
          <w:color w:val="auto"/>
        </w:rPr>
      </w:pPr>
    </w:p>
    <w:p>
      <w:pPr>
        <w:ind w:right="80" w:firstLine="436"/>
        <w:spacing w:after="0" w:line="282" w:lineRule="auto"/>
        <w:tabs>
          <w:tab w:leader="none" w:pos="62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WESCO (including in its capacity as the Servicer)</w:t>
      </w:r>
      <w:r>
        <w:rPr>
          <w:rFonts w:ascii="Times New Roman" w:cs="Times New Roman" w:eastAsia="Times New Roman" w:hAnsi="Times New Roman"/>
          <w:sz w:val="18"/>
          <w:szCs w:val="18"/>
          <w:color w:val="auto"/>
        </w:rPr>
        <w:t>. WESCO, individually and in its capacity as the Servicer, represents and warrants as follows:</w:t>
      </w:r>
    </w:p>
    <w:p>
      <w:pPr>
        <w:spacing w:after="0" w:line="54" w:lineRule="exact"/>
        <w:rPr>
          <w:sz w:val="20"/>
          <w:szCs w:val="20"/>
          <w:color w:val="auto"/>
        </w:rPr>
      </w:pPr>
    </w:p>
    <w:p>
      <w:pPr>
        <w:ind w:right="580" w:firstLine="436"/>
        <w:spacing w:after="0" w:line="266" w:lineRule="auto"/>
        <w:tabs>
          <w:tab w:leader="none" w:pos="785"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WESCO is a corporation duly incorporated, validly existing and in good standing under the laws of the State of Delaware, and is duly qualified to do business and is in good standing as a foreign corporation in every jurisdiction where the nature of its business requires it to be so qualified, except where the failure to be so qualified would not have a Material Adverse Effect.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III-4</w:t>
      </w:r>
    </w:p>
    <w:p>
      <w:pPr>
        <w:sectPr>
          <w:pgSz w:w="11900" w:h="16838" w:orient="portrait"/>
          <w:cols w:equalWidth="0" w:num="1">
            <w:col w:w="11000"/>
          </w:cols>
          <w:pgMar w:left="440" w:top="270" w:right="459" w:bottom="1440" w:gutter="0" w:footer="0" w:header="0"/>
        </w:sectPr>
      </w:pPr>
    </w:p>
    <w:bookmarkStart w:id="249" w:name="page250"/>
    <w:bookmarkEnd w:id="249"/>
    <w:p>
      <w:pPr>
        <w:ind w:left="-40" w:firstLine="436"/>
        <w:spacing w:after="0" w:line="255" w:lineRule="auto"/>
        <w:tabs>
          <w:tab w:leader="none" w:pos="725"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execution, delivery and performance by WESCO of this Agreement and the other Transaction Documents to which it is a party, including the Servicer’s use of the proceeds of purchases and reinvestments: (i) are within its corporate powers; (ii) have been duly authorized by all necessary corporate action; (iii) do not contravene or result in a default under or conflict with: (A) its charter or by-laws, (B) any law, rule or regulation applicable to it, (C) any indenture, loan agreement, mortgage, deed of trust or other material agreement or instrument to which it is a party or by which it is bound, or (D) any order, writ, judgment, award, injunction or decree binding on or affecting it or any of its property; and (iv) do not result in or require the creation of any Adverse Claim upon or with respect to any of its properties. This Agreement and the other Transaction Documents to which WESCO is a party have been duly executed and delivered by WESCO.</w:t>
      </w:r>
    </w:p>
    <w:p>
      <w:pPr>
        <w:spacing w:after="0" w:line="80" w:lineRule="exact"/>
        <w:rPr>
          <w:rFonts w:ascii="Times New Roman" w:cs="Times New Roman" w:eastAsia="Times New Roman" w:hAnsi="Times New Roman"/>
          <w:sz w:val="18"/>
          <w:szCs w:val="18"/>
          <w:color w:val="auto"/>
        </w:rPr>
      </w:pPr>
    </w:p>
    <w:p>
      <w:pPr>
        <w:ind w:left="-40" w:right="140" w:firstLine="436"/>
        <w:spacing w:after="0" w:line="282" w:lineRule="auto"/>
        <w:tabs>
          <w:tab w:leader="none" w:pos="682"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authorization, approval or other action by, and no notice to or filing with any Governmental Authority or other Person, is required for the due execution, delivery and performance by WESCO of this Agreement or any other Transaction Document to which it is a party.</w:t>
      </w:r>
    </w:p>
    <w:p>
      <w:pPr>
        <w:spacing w:after="0" w:line="53" w:lineRule="exact"/>
        <w:rPr>
          <w:rFonts w:ascii="Times New Roman" w:cs="Times New Roman" w:eastAsia="Times New Roman" w:hAnsi="Times New Roman"/>
          <w:sz w:val="18"/>
          <w:szCs w:val="18"/>
          <w:color w:val="auto"/>
        </w:rPr>
      </w:pPr>
    </w:p>
    <w:p>
      <w:pPr>
        <w:ind w:left="-40" w:firstLine="436"/>
        <w:spacing w:after="0" w:line="261" w:lineRule="auto"/>
        <w:tabs>
          <w:tab w:leader="none" w:pos="745"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this Agreement and the other Transaction Documents to which WESCO is a party constitutes the legal, valid and binding obligation of WESCO enforceable against WESCO in accordance with its terms, except as enforceability may be limited by bankruptcy, insolvency, reorganization or other similar laws from time to time in effect affecting the enforcement of creditors’ rights generally and by general principles of equity, regardless of whether such enforceability is considered in a proceeding in equity or at law.</w:t>
      </w:r>
    </w:p>
    <w:p>
      <w:pPr>
        <w:spacing w:after="0" w:line="71" w:lineRule="exact"/>
        <w:rPr>
          <w:rFonts w:ascii="Times New Roman" w:cs="Times New Roman" w:eastAsia="Times New Roman" w:hAnsi="Times New Roman"/>
          <w:sz w:val="18"/>
          <w:szCs w:val="18"/>
          <w:color w:val="auto"/>
        </w:rPr>
      </w:pPr>
    </w:p>
    <w:p>
      <w:pPr>
        <w:ind w:left="-40" w:right="100" w:firstLine="436"/>
        <w:spacing w:after="0" w:line="258" w:lineRule="auto"/>
        <w:tabs>
          <w:tab w:leader="none" w:pos="745"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sheets of Holdings and its consolidated Subsidiaries as at March 31, 2020, and the related statements of income and retained earnings for the fiscal year then ended, copies of which have been furnished to the Administrator and each Purchaser Agent, fairly present the financial condition of Holdings and its consolidated Subsidiaries as at such date and the results of the operations of Holdings and its Subsidiaries for the period ended on such date, all in accordance with generally accepted accounting principles consistently applied, and since March 31, 2020 there has been no event or circumstances which have had a Material Adverse Effect.</w:t>
      </w:r>
    </w:p>
    <w:p>
      <w:pPr>
        <w:spacing w:after="0" w:line="75" w:lineRule="exact"/>
        <w:rPr>
          <w:rFonts w:ascii="Times New Roman" w:cs="Times New Roman" w:eastAsia="Times New Roman" w:hAnsi="Times New Roman"/>
          <w:sz w:val="18"/>
          <w:szCs w:val="18"/>
          <w:color w:val="auto"/>
        </w:rPr>
      </w:pPr>
    </w:p>
    <w:p>
      <w:pPr>
        <w:ind w:left="-40" w:right="700" w:firstLine="436"/>
        <w:spacing w:after="0" w:line="266" w:lineRule="auto"/>
        <w:tabs>
          <w:tab w:leader="none" w:pos="665"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most recent audited financial statements of Holdings and its consolidated Subsidiaries furnished to the Administrator and each Purchaser Agent, there is no pending or, to its best knowledge, threatened action or proceeding affecting it or any of its Subsidiaries before any Governmental Authority or arbitrator that could have a Material Adverse Effect.</w:t>
      </w:r>
    </w:p>
    <w:p>
      <w:pPr>
        <w:spacing w:after="0" w:line="67" w:lineRule="exact"/>
        <w:rPr>
          <w:rFonts w:ascii="Times New Roman" w:cs="Times New Roman" w:eastAsia="Times New Roman" w:hAnsi="Times New Roman"/>
          <w:sz w:val="18"/>
          <w:szCs w:val="18"/>
          <w:color w:val="auto"/>
        </w:rPr>
      </w:pPr>
    </w:p>
    <w:p>
      <w:pPr>
        <w:ind w:left="-40" w:right="120" w:firstLine="436"/>
        <w:spacing w:after="0" w:line="282" w:lineRule="auto"/>
        <w:tabs>
          <w:tab w:leader="none" w:pos="665"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proceeds of any Purchase or reinvestment will be used to acquire any equity security of a class that is registered pursuant to Section 12 of the Securities Exchange Act of 1934.</w:t>
      </w:r>
    </w:p>
    <w:p>
      <w:pPr>
        <w:spacing w:after="0" w:line="53" w:lineRule="exact"/>
        <w:rPr>
          <w:rFonts w:ascii="Times New Roman" w:cs="Times New Roman" w:eastAsia="Times New Roman" w:hAnsi="Times New Roman"/>
          <w:sz w:val="18"/>
          <w:szCs w:val="18"/>
          <w:color w:val="auto"/>
        </w:rPr>
      </w:pPr>
    </w:p>
    <w:p>
      <w:pPr>
        <w:ind w:left="-40" w:right="20" w:firstLine="436"/>
        <w:spacing w:after="0" w:line="258" w:lineRule="auto"/>
        <w:tabs>
          <w:tab w:leader="none" w:pos="745"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Information Package or Daily Report (if prepared by WESCO or one of its Affiliates, or to the extent that information contained therein is supplied by WESCO or an Affiliate), information, exhibit, financial statement, document, book, record or report furnished or to be furnished at any time by or on behalf of the Servicer to the Administrator, any Purchaser or any Purchaser Agent in connection with this Agreement is or will be complete and accurate in all material respects as of its date or as of the date so furnished and does not and will not contain any material misstatement of fact or omit to state a material fact or any fact necessary to make the statements contained therein not misleading.</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III-5</w:t>
      </w:r>
    </w:p>
    <w:p>
      <w:pPr>
        <w:sectPr>
          <w:pgSz w:w="11900" w:h="16838" w:orient="portrait"/>
          <w:cols w:equalWidth="0" w:num="1">
            <w:col w:w="10940"/>
          </w:cols>
          <w:pgMar w:left="480" w:top="270" w:right="479" w:bottom="1440" w:gutter="0" w:footer="0" w:header="0"/>
        </w:sectPr>
      </w:pPr>
    </w:p>
    <w:bookmarkStart w:id="250" w:name="page251"/>
    <w:bookmarkEnd w:id="250"/>
    <w:p>
      <w:pPr>
        <w:ind w:left="-80" w:right="100" w:firstLine="436"/>
        <w:spacing w:after="0" w:line="282" w:lineRule="auto"/>
        <w:tabs>
          <w:tab w:leader="none" w:pos="625"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office where WESCO keeps its records concerning the Receivables are located at the address referred to in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Exhibit IV</w:t>
      </w:r>
      <w:r>
        <w:rPr>
          <w:rFonts w:ascii="Times New Roman" w:cs="Times New Roman" w:eastAsia="Times New Roman" w:hAnsi="Times New Roman"/>
          <w:sz w:val="18"/>
          <w:szCs w:val="18"/>
          <w:color w:val="auto"/>
        </w:rPr>
        <w:t xml:space="preserve"> to this Agreement.</w:t>
      </w:r>
    </w:p>
    <w:p>
      <w:pPr>
        <w:spacing w:after="0" w:line="53" w:lineRule="exact"/>
        <w:rPr>
          <w:rFonts w:ascii="Times New Roman" w:cs="Times New Roman" w:eastAsia="Times New Roman" w:hAnsi="Times New Roman"/>
          <w:sz w:val="18"/>
          <w:szCs w:val="18"/>
          <w:color w:val="auto"/>
        </w:rPr>
      </w:pPr>
    </w:p>
    <w:p>
      <w:pPr>
        <w:ind w:left="800" w:hanging="444"/>
        <w:spacing w:after="0"/>
        <w:tabs>
          <w:tab w:leader="none" w:pos="80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WESCO is not in violation of any order of any court, arbitrator or Governmental Authority, which could have a Material Adverse Effect.</w:t>
      </w:r>
    </w:p>
    <w:p>
      <w:pPr>
        <w:spacing w:after="0" w:line="117" w:lineRule="exact"/>
        <w:rPr>
          <w:rFonts w:ascii="Times New Roman" w:cs="Times New Roman" w:eastAsia="Times New Roman" w:hAnsi="Times New Roman"/>
          <w:sz w:val="18"/>
          <w:szCs w:val="18"/>
          <w:color w:val="auto"/>
        </w:rPr>
      </w:pPr>
    </w:p>
    <w:p>
      <w:pPr>
        <w:ind w:left="700" w:hanging="344"/>
        <w:spacing w:after="0"/>
        <w:tabs>
          <w:tab w:leader="none" w:pos="70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WESCO nor any of its Affiliates has any direct or indirect ownership or other financial interest in any Purchaser.</w:t>
      </w:r>
    </w:p>
    <w:p>
      <w:pPr>
        <w:spacing w:after="0" w:line="117" w:lineRule="exact"/>
        <w:rPr>
          <w:rFonts w:ascii="Times New Roman" w:cs="Times New Roman" w:eastAsia="Times New Roman" w:hAnsi="Times New Roman"/>
          <w:sz w:val="18"/>
          <w:szCs w:val="18"/>
          <w:color w:val="auto"/>
        </w:rPr>
      </w:pPr>
    </w:p>
    <w:p>
      <w:pPr>
        <w:ind w:left="-80" w:right="180" w:firstLine="436"/>
        <w:spacing w:after="0" w:line="282" w:lineRule="auto"/>
        <w:tabs>
          <w:tab w:leader="none" w:pos="705"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Servicer has complied in all material respects with the Credit and Collection Policy of each Originator with regard to each Receivable originated by such Originator.</w:t>
      </w:r>
    </w:p>
    <w:p>
      <w:pPr>
        <w:spacing w:after="0" w:line="53" w:lineRule="exact"/>
        <w:rPr>
          <w:rFonts w:ascii="Times New Roman" w:cs="Times New Roman" w:eastAsia="Times New Roman" w:hAnsi="Times New Roman"/>
          <w:sz w:val="18"/>
          <w:szCs w:val="18"/>
          <w:color w:val="auto"/>
        </w:rPr>
      </w:pPr>
    </w:p>
    <w:p>
      <w:pPr>
        <w:ind w:left="-80" w:right="300" w:firstLine="436"/>
        <w:spacing w:after="0" w:line="282" w:lineRule="auto"/>
        <w:tabs>
          <w:tab w:leader="none" w:pos="705"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WESCO has complied in all material respects with all of the terms, covenants and agreements contained in this Agreement and the other Transaction Documents that are applicable to it.</w:t>
      </w:r>
    </w:p>
    <w:p>
      <w:pPr>
        <w:spacing w:after="0" w:line="53" w:lineRule="exact"/>
        <w:rPr>
          <w:rFonts w:ascii="Times New Roman" w:cs="Times New Roman" w:eastAsia="Times New Roman" w:hAnsi="Times New Roman"/>
          <w:sz w:val="18"/>
          <w:szCs w:val="18"/>
          <w:color w:val="auto"/>
        </w:rPr>
      </w:pPr>
    </w:p>
    <w:p>
      <w:pPr>
        <w:ind w:left="-80" w:right="320" w:firstLine="436"/>
        <w:spacing w:after="0" w:line="282" w:lineRule="auto"/>
        <w:tabs>
          <w:tab w:leader="none" w:pos="705"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WESCO is not an “investment company” or a company “controlled” by an “investment company” within the meaning of the Investment Company Act of 1940, as amended.</w:t>
      </w:r>
    </w:p>
    <w:p>
      <w:pPr>
        <w:spacing w:after="0" w:line="53" w:lineRule="exact"/>
        <w:rPr>
          <w:rFonts w:ascii="Times New Roman" w:cs="Times New Roman" w:eastAsia="Times New Roman" w:hAnsi="Times New Roman"/>
          <w:sz w:val="18"/>
          <w:szCs w:val="18"/>
          <w:color w:val="auto"/>
        </w:rPr>
      </w:pPr>
    </w:p>
    <w:p>
      <w:pPr>
        <w:ind w:left="-80" w:right="120" w:firstLine="436"/>
        <w:spacing w:after="0" w:line="266" w:lineRule="auto"/>
        <w:tabs>
          <w:tab w:leader="none" w:pos="645"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consignments, inventory financings, or other arrangements covered by the financing statement specified in the Subject UCC relates or will relate to commingled goods or inventory the sale of which gives rise to any Receivable. The secured party set forth on the Subject UCC does not have, nor will it have, any Adverse Claim on, or with respect to, any Pool Receivables or Related Assets.</w:t>
      </w:r>
    </w:p>
    <w:p>
      <w:pPr>
        <w:spacing w:after="0" w:line="67" w:lineRule="exact"/>
        <w:rPr>
          <w:rFonts w:ascii="Times New Roman" w:cs="Times New Roman" w:eastAsia="Times New Roman" w:hAnsi="Times New Roman"/>
          <w:sz w:val="18"/>
          <w:szCs w:val="18"/>
          <w:color w:val="auto"/>
        </w:rPr>
      </w:pPr>
    </w:p>
    <w:p>
      <w:pPr>
        <w:ind w:left="-80" w:right="40" w:firstLine="436"/>
        <w:spacing w:after="0" w:line="289" w:lineRule="auto"/>
        <w:tabs>
          <w:tab w:leader="none" w:pos="665" w:val="left"/>
        </w:tabs>
        <w:numPr>
          <w:ilvl w:val="0"/>
          <w:numId w:val="2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its most recent fiscal year end, there has been no change in the business, operations, financial condition, properties or assets of the Servicer which would have a Material Adverse Effect on its ability to perform its obligations under this Agreement or any other Transaction Document to which it is a party or materially and adversely affect the transactions contemplated under this Agreement or such other Transaction Documents.</w:t>
      </w:r>
    </w:p>
    <w:p>
      <w:pPr>
        <w:spacing w:after="0" w:line="49" w:lineRule="exact"/>
        <w:rPr>
          <w:rFonts w:ascii="Times New Roman" w:cs="Times New Roman" w:eastAsia="Times New Roman" w:hAnsi="Times New Roman"/>
          <w:sz w:val="17"/>
          <w:szCs w:val="17"/>
          <w:color w:val="auto"/>
        </w:rPr>
      </w:pPr>
    </w:p>
    <w:p>
      <w:pPr>
        <w:ind w:left="-80" w:right="40" w:firstLine="436"/>
        <w:spacing w:after="0" w:line="282" w:lineRule="auto"/>
        <w:tabs>
          <w:tab w:leader="none" w:pos="625"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license or approval is required for the Administrator or any successor Servicer to use any program used by the Servicer in the servicing of the Receivables.</w:t>
      </w:r>
    </w:p>
    <w:p>
      <w:pPr>
        <w:spacing w:after="0" w:line="53" w:lineRule="exact"/>
        <w:rPr>
          <w:rFonts w:ascii="Times New Roman" w:cs="Times New Roman" w:eastAsia="Times New Roman" w:hAnsi="Times New Roman"/>
          <w:sz w:val="18"/>
          <w:szCs w:val="18"/>
          <w:color w:val="auto"/>
        </w:rPr>
      </w:pPr>
    </w:p>
    <w:p>
      <w:pPr>
        <w:ind w:left="700" w:hanging="344"/>
        <w:spacing w:after="0"/>
        <w:tabs>
          <w:tab w:leader="none" w:pos="70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80" w:firstLine="436"/>
        <w:spacing w:after="0" w:line="312" w:lineRule="auto"/>
        <w:tabs>
          <w:tab w:leader="none" w:pos="705" w:val="left"/>
        </w:tabs>
        <w:numPr>
          <w:ilvl w:val="0"/>
          <w:numId w:val="2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secured party set forth on the Subject Anixter UCC does not have, nor will it have, any Adverse Claim on, or with respect to, any Pool Receivables or Related Assets. No amount is owed by Anixter Inc. to the secured party set forth on the Subject Anixter UCC (or any successor thereto).</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III-6</w:t>
      </w:r>
    </w:p>
    <w:p>
      <w:pPr>
        <w:sectPr>
          <w:pgSz w:w="11900" w:h="16838" w:orient="portrait"/>
          <w:cols w:equalWidth="0" w:num="1">
            <w:col w:w="10840"/>
          </w:cols>
          <w:pgMar w:left="520" w:top="270" w:right="539" w:bottom="1440" w:gutter="0" w:footer="0" w:header="0"/>
        </w:sectPr>
      </w:pPr>
    </w:p>
    <w:bookmarkStart w:id="251" w:name="page252"/>
    <w:bookmarkEnd w:id="251"/>
    <w:p>
      <w:pPr>
        <w:ind w:left="-80" w:right="80" w:firstLine="436"/>
        <w:spacing w:after="0" w:line="258" w:lineRule="auto"/>
        <w:tabs>
          <w:tab w:leader="none" w:pos="785"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(a) Covered Entity, nor any employees, officers, directors, affiliates of such Covered Entity, nor, to the knowledge of WESCO, any consultants, brokers, or agents acting on such Covered Entity’s behalf in connection with this Agreement: (i) is a Sanctioned Person; (ii) directly, or indirectly through any third party, is engaged in any transactions or other dealings with or for the benefit of any Sanctioned Person or Sanctioned Jurisdiction </w:t>
      </w:r>
      <w:r>
        <w:rPr>
          <w:rFonts w:ascii="Times New Roman" w:cs="Times New Roman" w:eastAsia="Times New Roman" w:hAnsi="Times New Roman"/>
          <w:sz w:val="18"/>
          <w:szCs w:val="18"/>
          <w:color w:val="0000FF"/>
        </w:rPr>
        <w:t>in violation of Sanctions</w:t>
      </w:r>
      <w:r>
        <w:rPr>
          <w:rFonts w:ascii="Times New Roman" w:cs="Times New Roman" w:eastAsia="Times New Roman" w:hAnsi="Times New Roman"/>
          <w:sz w:val="18"/>
          <w:szCs w:val="18"/>
          <w:color w:val="auto"/>
        </w:rPr>
        <w:t xml:space="preserve">, or any transactions or other dealings that otherwise are prohibited by any Anti-Terrorism Laws; (b) Pool Asset is </w:t>
      </w:r>
      <w:r>
        <w:rPr>
          <w:rFonts w:ascii="Times New Roman" w:cs="Times New Roman" w:eastAsia="Times New Roman" w:hAnsi="Times New Roman"/>
          <w:sz w:val="18"/>
          <w:szCs w:val="18"/>
          <w:color w:val="FF0000"/>
          <w:strike w:val="1"/>
        </w:rPr>
        <w:t>Embargoed</w:t>
      </w:r>
      <w:r>
        <w:rPr>
          <w:rFonts w:ascii="Times New Roman" w:cs="Times New Roman" w:eastAsia="Times New Roman" w:hAnsi="Times New Roman"/>
          <w:sz w:val="18"/>
          <w:szCs w:val="18"/>
          <w:u w:val="single" w:color="auto"/>
          <w:color w:val="0000FF"/>
        </w:rPr>
        <w:t>Blocked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Property.</w:t>
      </w:r>
    </w:p>
    <w:p>
      <w:pPr>
        <w:spacing w:after="0" w:line="75" w:lineRule="exact"/>
        <w:rPr>
          <w:rFonts w:ascii="Times New Roman" w:cs="Times New Roman" w:eastAsia="Times New Roman" w:hAnsi="Times New Roman"/>
          <w:sz w:val="18"/>
          <w:szCs w:val="18"/>
          <w:color w:val="auto"/>
        </w:rPr>
      </w:pPr>
    </w:p>
    <w:p>
      <w:pPr>
        <w:ind w:left="-80" w:firstLine="436"/>
        <w:spacing w:after="0" w:line="266" w:lineRule="auto"/>
        <w:tabs>
          <w:tab w:leader="none" w:pos="705"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Covered Entity has, in the reasonable business judgment of WESCO, (a) conducted its business in compliance with all Anti-Corruption Laws and (b) implemented and maintains policies and procedures designed to ensure compliance with such Anti-Corruption Laws, in each case, in all material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wp:posOffset>
            </wp:positionH>
            <wp:positionV relativeFrom="paragraph">
              <wp:posOffset>-621665</wp:posOffset>
            </wp:positionV>
            <wp:extent cx="114871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148715" cy="8890"/>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-655955</wp:posOffset>
            </wp:positionV>
            <wp:extent cx="114871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148715" cy="8255"/>
                    </a:xfrm>
                    <a:prstGeom prst="rect">
                      <a:avLst/>
                    </a:prstGeom>
                    <a:noFill/>
                  </pic:spPr>
                </pic:pic>
              </a:graphicData>
            </a:graphic>
          </wp:anchor>
        </w:drawing>
        <w:drawing>
          <wp:anchor simplePos="0" relativeHeight="251657728" behindDoc="1" locked="0" layoutInCell="0" allowOverlap="1">
            <wp:simplePos x="0" y="0"/>
            <wp:positionH relativeFrom="column">
              <wp:posOffset>469265</wp:posOffset>
            </wp:positionH>
            <wp:positionV relativeFrom="paragraph">
              <wp:posOffset>-484505</wp:posOffset>
            </wp:positionV>
            <wp:extent cx="38544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85445" cy="8255"/>
                    </a:xfrm>
                    <a:prstGeom prst="rect">
                      <a:avLst/>
                    </a:prstGeom>
                    <a:noFill/>
                  </pic:spPr>
                </pic:pic>
              </a:graphicData>
            </a:graphic>
          </wp:anchor>
        </w:drawing>
      </w:r>
    </w:p>
    <w:p>
      <w:pPr>
        <w:spacing w:after="0" w:line="48" w:lineRule="exact"/>
        <w:rPr>
          <w:sz w:val="20"/>
          <w:szCs w:val="20"/>
          <w:color w:val="auto"/>
        </w:rPr>
      </w:pPr>
    </w:p>
    <w:p>
      <w:pPr>
        <w:jc w:val="both"/>
        <w:ind w:left="-80" w:firstLine="436"/>
        <w:spacing w:after="0" w:line="261" w:lineRule="auto"/>
        <w:tabs>
          <w:tab w:leader="none" w:pos="54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Ordinary Course of Business.</w:t>
      </w:r>
      <w:r>
        <w:rPr>
          <w:rFonts w:ascii="Times New Roman" w:cs="Times New Roman" w:eastAsia="Times New Roman" w:hAnsi="Times New Roman"/>
          <w:sz w:val="18"/>
          <w:szCs w:val="18"/>
          <w:color w:val="auto"/>
        </w:rPr>
        <w:t xml:space="preserve"> Each of the Seller and the Purchasers represents and warrants, as to itself, that each remittance of Collections by or on behalf of the Seller to the Purchasers under this Agreement will have been (i) in payment of a debt incurred by the Seller in the ordinary course of business or financial affairs of the Seller and the Purchasers and (ii) made in the ordinary course of business or financial affairs of the Seller and the Purchasers.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III-7</w:t>
      </w:r>
    </w:p>
    <w:p>
      <w:pPr>
        <w:sectPr>
          <w:pgSz w:w="11900" w:h="16838" w:orient="portrait"/>
          <w:cols w:equalWidth="0" w:num="1">
            <w:col w:w="10840"/>
          </w:cols>
          <w:pgMar w:left="520" w:top="270" w:right="539" w:bottom="1440" w:gutter="0" w:footer="0" w:header="0"/>
        </w:sectPr>
      </w:pPr>
    </w:p>
    <w:bookmarkStart w:id="252" w:name="page253"/>
    <w:bookmarkEnd w:id="25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COVENANTS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Covenants of the Seller</w:t>
      </w:r>
      <w:r>
        <w:rPr>
          <w:rFonts w:ascii="Times New Roman" w:cs="Times New Roman" w:eastAsia="Times New Roman" w:hAnsi="Times New Roman"/>
          <w:sz w:val="18"/>
          <w:szCs w:val="18"/>
          <w:color w:val="auto"/>
        </w:rPr>
        <w:t>. Until the Final Payout Date:</w:t>
      </w:r>
    </w:p>
    <w:p>
      <w:pPr>
        <w:spacing w:after="0" w:line="117" w:lineRule="exact"/>
        <w:rPr>
          <w:sz w:val="20"/>
          <w:szCs w:val="20"/>
          <w:color w:val="auto"/>
        </w:rPr>
      </w:pPr>
    </w:p>
    <w:p>
      <w:pPr>
        <w:ind w:left="-20" w:right="360" w:firstLine="436"/>
        <w:spacing w:after="0" w:line="266" w:lineRule="auto"/>
        <w:tabs>
          <w:tab w:leader="none" w:pos="765"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 Etc.</w:t>
      </w:r>
      <w:r>
        <w:rPr>
          <w:rFonts w:ascii="Times New Roman" w:cs="Times New Roman" w:eastAsia="Times New Roman" w:hAnsi="Times New Roman"/>
          <w:sz w:val="18"/>
          <w:szCs w:val="18"/>
          <w:color w:val="auto"/>
        </w:rPr>
        <w:t xml:space="preserve"> The Seller shall comply with all Applicable Laws, and preserve and maintain its corporate existence, rights, franchises, qualifications and privileges, except to the extent that the failure so to comply with such laws, rules and regulations or the failure so to preserve and maintain such rights, franchises, qualifications and privileges would not have a Material Adverse Effect.</w:t>
      </w:r>
    </w:p>
    <w:p>
      <w:pPr>
        <w:spacing w:after="0" w:line="67" w:lineRule="exact"/>
        <w:rPr>
          <w:rFonts w:ascii="Times New Roman" w:cs="Times New Roman" w:eastAsia="Times New Roman" w:hAnsi="Times New Roman"/>
          <w:sz w:val="18"/>
          <w:szCs w:val="18"/>
          <w:color w:val="auto"/>
        </w:rPr>
      </w:pPr>
    </w:p>
    <w:p>
      <w:pPr>
        <w:ind w:left="-20" w:firstLine="436"/>
        <w:spacing w:after="0" w:line="252" w:lineRule="auto"/>
        <w:tabs>
          <w:tab w:leader="none" w:pos="745"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Offices, Records and Books of Account, Etc.</w:t>
      </w:r>
      <w:r>
        <w:rPr>
          <w:rFonts w:ascii="Times New Roman" w:cs="Times New Roman" w:eastAsia="Times New Roman" w:hAnsi="Times New Roman"/>
          <w:sz w:val="18"/>
          <w:szCs w:val="18"/>
          <w:color w:val="auto"/>
        </w:rPr>
        <w:t xml:space="preserve"> The Seller: (i) shall keep its principal place of business, chief executive office and “location” (as such term is used in the UCC) and the office where it keeps its records concerning the Receivables at the addresses and locations of the Seller set forth under its name on </w:t>
      </w:r>
      <w:r>
        <w:rPr>
          <w:rFonts w:ascii="Times New Roman" w:cs="Times New Roman" w:eastAsia="Times New Roman" w:hAnsi="Times New Roman"/>
          <w:sz w:val="18"/>
          <w:szCs w:val="18"/>
          <w:u w:val="single" w:color="auto"/>
          <w:color w:val="auto"/>
        </w:rPr>
        <w:t>Schedule IV</w:t>
      </w:r>
      <w:r>
        <w:rPr>
          <w:rFonts w:ascii="Times New Roman" w:cs="Times New Roman" w:eastAsia="Times New Roman" w:hAnsi="Times New Roman"/>
          <w:sz w:val="18"/>
          <w:szCs w:val="18"/>
          <w:color w:val="auto"/>
        </w:rPr>
        <w:t xml:space="preserve"> to this Agreement or, pursuant to </w:t>
      </w:r>
      <w:r>
        <w:rPr>
          <w:rFonts w:ascii="Times New Roman" w:cs="Times New Roman" w:eastAsia="Times New Roman" w:hAnsi="Times New Roman"/>
          <w:sz w:val="18"/>
          <w:szCs w:val="18"/>
          <w:u w:val="single" w:color="auto"/>
          <w:color w:val="auto"/>
        </w:rPr>
        <w:t>clause (k)(iv)</w:t>
      </w:r>
      <w:r>
        <w:rPr>
          <w:rFonts w:ascii="Times New Roman" w:cs="Times New Roman" w:eastAsia="Times New Roman" w:hAnsi="Times New Roman"/>
          <w:sz w:val="18"/>
          <w:szCs w:val="18"/>
          <w:color w:val="auto"/>
        </w:rPr>
        <w:t xml:space="preserve"> below, at any other locations in jurisdictions where all actions reasonably requested by the Administrator to protect and perfect the interest of the Administrator (for the benefit of the Purchasers) in the Receivables and related items (including the Pool Assets) have been taken and completed and (ii) shall provide the Administrator with at least 30 days’ written notice before making any change in the Seller’s name or making any other change in the Seller’s identity or corporate structure (including a Change in Control) that could render any UCC financing statement filed in connection with this Agreement “seriously misleading” as such term (or similar term) is used in the UCC; each notice to the Administrator pursuant to this sentence shall set forth the applicable change and the effective date thereof. The Seller also will maintain and implement (or cause the Servicer to maintain and implement) administrative and operating procedures (including an ability to recreate records evidencing Receivables and related Contracts in the event of the destruction of the originals thereof), and keep and maintain (or cause the Servicer to keep and maintain) all documents, books, records, computer tapes and disks and other information reasonably necessary or advisable for the collection of all Receivables (including records adequate to permit the daily identification of each Receivable and all Collections of and adjustments to each existing Receivable);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the New Originators, the books and records will be updated on a monthly basis. The Seller will (and will cause each Originator to) on or prior to the date of this Agreement, mark its master data processing records and other books and records relating to the Purchased Interest (and at all times thereafter (until the latest of the Facility Termination Date or the date all other amounts owed by the Seller under this Agreement shall be paid in full) continue to maintain such records) with a legend, acceptable to the Administrator, describing the Purchased Interest.</w:t>
      </w:r>
    </w:p>
    <w:p>
      <w:pPr>
        <w:spacing w:after="0" w:line="85" w:lineRule="exact"/>
        <w:rPr>
          <w:sz w:val="20"/>
          <w:szCs w:val="20"/>
          <w:color w:val="auto"/>
        </w:rPr>
      </w:pPr>
    </w:p>
    <w:p>
      <w:pPr>
        <w:ind w:left="-20" w:right="100" w:firstLine="436"/>
        <w:spacing w:after="0" w:line="261" w:lineRule="auto"/>
        <w:tabs>
          <w:tab w:leader="none" w:pos="825"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and Compliance with Contracts and Credit and Collection Policy</w:t>
      </w:r>
      <w:r>
        <w:rPr>
          <w:rFonts w:ascii="Times New Roman" w:cs="Times New Roman" w:eastAsia="Times New Roman" w:hAnsi="Times New Roman"/>
          <w:sz w:val="18"/>
          <w:szCs w:val="18"/>
          <w:color w:val="auto"/>
        </w:rPr>
        <w:t>. The Seller shall (and shall cause the Servicer to), at its expense, timely and fully perform and comply with all material provisions, covenants and other promises required to be observed by it under the Contracts related to the Receivables, and timely and fully comply in all material respects with the applicable Credit and Collection Policies with regard to each Receivable and the related Contract.</w:t>
      </w:r>
    </w:p>
    <w:p>
      <w:pPr>
        <w:sectPr>
          <w:pgSz w:w="11900" w:h="16838" w:orient="portrait"/>
          <w:cols w:equalWidth="0" w:num="1">
            <w:col w:w="10960"/>
          </w:cols>
          <w:pgMar w:left="460" w:top="270" w:right="479" w:bottom="1440" w:gutter="0" w:footer="0" w:header="0"/>
        </w:sectPr>
      </w:pPr>
    </w:p>
    <w:bookmarkStart w:id="253" w:name="page254"/>
    <w:bookmarkEnd w:id="253"/>
    <w:p>
      <w:pPr>
        <w:ind w:left="4" w:right="20" w:firstLine="436"/>
        <w:spacing w:after="0" w:line="258" w:lineRule="auto"/>
        <w:tabs>
          <w:tab w:leader="none" w:pos="879"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Ownership Interest, Etc</w:t>
      </w:r>
      <w:r>
        <w:rPr>
          <w:rFonts w:ascii="Times New Roman" w:cs="Times New Roman" w:eastAsia="Times New Roman" w:hAnsi="Times New Roman"/>
          <w:sz w:val="18"/>
          <w:szCs w:val="18"/>
          <w:color w:val="auto"/>
        </w:rPr>
        <w:t>. The Seller shall (and shall cause the Servicer to), at its expense, take all action necessary or desirable to establish and maintain a valid and enforceable undivided percentage ownership or security interest, to the extent of the Purchased Interest, in the Pool Receivables, the Related Security and Collections with respect thereto, and a first priority perfected security interest in the Pool Assets, in each case free and clear of any Adverse Claim, in favor of the Administrator (for the benefit of the Purchasers), including taking such action to perfect, protect or more fully evidence the interest of the Administrator (for the benefit of the Purchasers) as the Administrator, may reasonably request.</w:t>
      </w:r>
    </w:p>
    <w:p>
      <w:pPr>
        <w:spacing w:after="0" w:line="75" w:lineRule="exact"/>
        <w:rPr>
          <w:rFonts w:ascii="Times New Roman" w:cs="Times New Roman" w:eastAsia="Times New Roman" w:hAnsi="Times New Roman"/>
          <w:sz w:val="18"/>
          <w:szCs w:val="18"/>
          <w:color w:val="auto"/>
        </w:rPr>
      </w:pPr>
    </w:p>
    <w:p>
      <w:pPr>
        <w:ind w:left="4" w:right="40" w:firstLine="436"/>
        <w:spacing w:after="0" w:line="261" w:lineRule="auto"/>
        <w:tabs>
          <w:tab w:leader="none" w:pos="849"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Sales, Liens, Etc</w:t>
      </w:r>
      <w:r>
        <w:rPr>
          <w:rFonts w:ascii="Times New Roman" w:cs="Times New Roman" w:eastAsia="Times New Roman" w:hAnsi="Times New Roman"/>
          <w:sz w:val="18"/>
          <w:szCs w:val="18"/>
          <w:color w:val="auto"/>
        </w:rPr>
        <w:t>. The Seller shall not sell, assign (by operation of law or otherwise) or otherwise dispose of, or create or suffer to exist any Adverse Claim upon or with respect to, any or all of its right, title or interest in, to or under any Pool Assets (including the Seller’s undivided interest in any Receivable, Related Security or Collections, or upon or with respect to any account to which any Collections of any Receivables are sent), or assign any right to receive income in respect thereof.</w:t>
      </w:r>
    </w:p>
    <w:p>
      <w:pPr>
        <w:spacing w:after="0" w:line="71" w:lineRule="exact"/>
        <w:rPr>
          <w:rFonts w:ascii="Times New Roman" w:cs="Times New Roman" w:eastAsia="Times New Roman" w:hAnsi="Times New Roman"/>
          <w:sz w:val="18"/>
          <w:szCs w:val="18"/>
          <w:color w:val="auto"/>
        </w:rPr>
      </w:pPr>
    </w:p>
    <w:p>
      <w:pPr>
        <w:jc w:val="both"/>
        <w:ind w:left="4" w:right="260" w:firstLine="436"/>
        <w:spacing w:after="0" w:line="266" w:lineRule="auto"/>
        <w:tabs>
          <w:tab w:leader="none" w:pos="879"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Extension or Amendment of Receivables</w:t>
      </w:r>
      <w:r>
        <w:rPr>
          <w:rFonts w:ascii="Times New Roman" w:cs="Times New Roman" w:eastAsia="Times New Roman" w:hAnsi="Times New Roman"/>
          <w:sz w:val="18"/>
          <w:szCs w:val="18"/>
          <w:color w:val="auto"/>
        </w:rPr>
        <w:t>. Except as provided in this Agreement, the Seller shall not, and shall not permit the Servicer to, extend the maturity or adjust the Outstanding Balance or otherwise modify the terms of any Pool Receivable, or amend, modify or waive any term or condition of any related Contract.</w:t>
      </w:r>
    </w:p>
    <w:p>
      <w:pPr>
        <w:spacing w:after="0" w:line="67" w:lineRule="exact"/>
        <w:rPr>
          <w:rFonts w:ascii="Times New Roman" w:cs="Times New Roman" w:eastAsia="Times New Roman" w:hAnsi="Times New Roman"/>
          <w:sz w:val="18"/>
          <w:szCs w:val="18"/>
          <w:color w:val="auto"/>
        </w:rPr>
      </w:pPr>
    </w:p>
    <w:p>
      <w:pPr>
        <w:ind w:left="4" w:firstLine="436"/>
        <w:spacing w:after="0" w:line="261" w:lineRule="auto"/>
        <w:tabs>
          <w:tab w:leader="none" w:pos="849"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Business or Credit and Collection Policy</w:t>
      </w:r>
      <w:r>
        <w:rPr>
          <w:rFonts w:ascii="Times New Roman" w:cs="Times New Roman" w:eastAsia="Times New Roman" w:hAnsi="Times New Roman"/>
          <w:sz w:val="18"/>
          <w:szCs w:val="18"/>
          <w:color w:val="auto"/>
        </w:rPr>
        <w:t>. The Seller shall not make (or agree with any Originator to make) any change (i) in the character of its business or (ii) in any Credit and Collection Policy that would have a Material Adverse Effect with respect to the Receivables. The Seller shall not make (or agree with any Originator to make) any other change in any Credit and Collection Policy without giving prior written notice thereof to the Administrator and each Purchaser Agent.</w:t>
      </w:r>
    </w:p>
    <w:p>
      <w:pPr>
        <w:spacing w:after="0" w:line="71" w:lineRule="exact"/>
        <w:rPr>
          <w:rFonts w:ascii="Times New Roman" w:cs="Times New Roman" w:eastAsia="Times New Roman" w:hAnsi="Times New Roman"/>
          <w:sz w:val="18"/>
          <w:szCs w:val="18"/>
          <w:color w:val="auto"/>
        </w:rPr>
      </w:pPr>
    </w:p>
    <w:p>
      <w:pPr>
        <w:jc w:val="both"/>
        <w:ind w:left="4" w:right="20" w:firstLine="436"/>
        <w:spacing w:after="0" w:line="272" w:lineRule="auto"/>
        <w:tabs>
          <w:tab w:leader="none" w:pos="782" w:val="left"/>
        </w:tabs>
        <w:numPr>
          <w:ilvl w:val="1"/>
          <w:numId w:val="2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Audits</w:t>
      </w:r>
      <w:r>
        <w:rPr>
          <w:rFonts w:ascii="Times New Roman" w:cs="Times New Roman" w:eastAsia="Times New Roman" w:hAnsi="Times New Roman"/>
          <w:sz w:val="17"/>
          <w:szCs w:val="17"/>
          <w:color w:val="auto"/>
        </w:rPr>
        <w:t>. The Seller shall (and shall cause each Originator to), from time to time during regular business hours, but no more frequently than annually unless (w) a Termination Event or Unmatured Termination Event has occurred and is continuing, (x) WESCO or Holdings ceases to have a rating of at least “B-” by Standard and Poor’s on its respective corporate credit rating, (y) Holdings’ Available Liquidity fails to exceed $100,000,000 or</w:t>
      </w:r>
    </w:p>
    <w:p>
      <w:pPr>
        <w:spacing w:after="0" w:line="1" w:lineRule="exact"/>
        <w:rPr>
          <w:rFonts w:ascii="Times New Roman" w:cs="Times New Roman" w:eastAsia="Times New Roman" w:hAnsi="Times New Roman"/>
          <w:sz w:val="17"/>
          <w:szCs w:val="17"/>
          <w:color w:val="auto"/>
        </w:rPr>
      </w:pPr>
    </w:p>
    <w:p>
      <w:pPr>
        <w:ind w:left="4" w:hanging="4"/>
        <w:spacing w:after="0" w:line="251" w:lineRule="auto"/>
        <w:tabs>
          <w:tab w:leader="none" w:pos="249"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opinion of the Administrator (with the consent or at the direction of any of the Purchasers) reasonable grounds for insecurity exist with respect to the collectibility of a material portion of the Pool Receivables or with respect to the Seller’s performance or ability to perform in any material respect its obligations under this Agreement, as reasonably requested in advance (unless a Termination Event or Unmatured Termination Event exists) by the Administrator, permit the Administrator, or its agents or representatives, at the Seller’s expense: (i) to examine and make copies of and abstracts from all books, records and documents (including computer tapes and disks) in the possession or under the control of the Seller (or any such Originator) relating to Receivables and the Related Security, including the related Contracts, and (ii) to visit the offices and properties of the Seller and the Originators for the purpose of examining such materials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(and shall include the review of the systems and operations of the off-system originators), and to discuss matters relating to Receivables and the Related Security or the Seller’s, WESCO’s or the Originators’ performance under the Transaction Documents or under the Contracts with any of the officers, employees, agents or contractors of the Seller, WESCO or the Originators having knowledge of such matters.</w:t>
      </w:r>
    </w:p>
    <w:p>
      <w:pPr>
        <w:sectPr>
          <w:pgSz w:w="11900" w:h="16838" w:orient="portrait"/>
          <w:cols w:equalWidth="0" w:num="1">
            <w:col w:w="10984"/>
          </w:cols>
          <w:pgMar w:left="436" w:top="270" w:right="479" w:bottom="1440" w:gutter="0" w:footer="0" w:header="0"/>
        </w:sectPr>
      </w:pPr>
    </w:p>
    <w:bookmarkStart w:id="254" w:name="page255"/>
    <w:bookmarkEnd w:id="254"/>
    <w:p>
      <w:pPr>
        <w:ind w:left="-436" w:firstLine="436"/>
        <w:spacing w:after="0" w:line="252" w:lineRule="auto"/>
        <w:tabs>
          <w:tab w:leader="none" w:pos="439"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Deposits to Lock-Box Accounts</w:t>
      </w:r>
      <w:r>
        <w:rPr>
          <w:rFonts w:ascii="Times New Roman" w:cs="Times New Roman" w:eastAsia="Times New Roman" w:hAnsi="Times New Roman"/>
          <w:sz w:val="18"/>
          <w:szCs w:val="18"/>
          <w:color w:val="auto"/>
        </w:rPr>
        <w:t xml:space="preserve">. The Seller shall (or shall cause the Servicer to): (i) instruct all Obligors to make payments of all Receivables to one or more Lock-Box Accounts or to post office boxes to which only Lock-Box Banks have access (and shall instruct the Lock-Box Banks to cause all items and amounts relating to such Receivables received in such post office boxes to be removed and deposited into a Lock-Box Account on a daily basis), (ii) deposit, or cause to be deposited, any Collections received by it, the Servicer or any Originator into Lock-Box Accounts not later than one Business Day after receipt thereof and (iii) if a Termination Event has occurred and is continuing, directly transfer all Collections received in each Exception Account to a Lock-Box Account (other than an Exception Account) no later than one (1) Business Day following receipt thereof. Except as otherwise agreed to in writing by the Administrator and the Majority Purchasers, each Lock-Box Account shall at all times be subject to a Lock-Box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so long as the Exception Account Conditions are then satisfied with respect to an Exception Account, such Exception Account need not be subject to a Lock-Box Agreement. The Seller will not (and will not permit the Servicer to) deposit or otherwise credit, or cause or permit to be so deposited or credited, to any Lock-Box Account cash or cash proceeds other than Collections;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Seller may permit (i) collections relating to Excluded Receivables and (ii) such other collections not relating to Receivables as the Administrator may approve in writing, in each case, to be so deposited or credited to any Lock-Box Account so long as (x) the amount of such collections does not exceed $15,000,000 for any calendar month and (y) the Administrator has not requested in writing that the Servicer direct obligors relating to such Excluded Receivables to cease making payments to Lock-Box Accounts.</w:t>
      </w:r>
    </w:p>
    <w:p>
      <w:pPr>
        <w:spacing w:after="0" w:line="89" w:lineRule="exact"/>
        <w:rPr>
          <w:rFonts w:ascii="Times New Roman" w:cs="Times New Roman" w:eastAsia="Times New Roman" w:hAnsi="Times New Roman"/>
          <w:sz w:val="18"/>
          <w:szCs w:val="18"/>
          <w:color w:val="auto"/>
        </w:rPr>
      </w:pPr>
    </w:p>
    <w:p>
      <w:pPr>
        <w:ind w:left="-436" w:right="460" w:firstLine="436"/>
        <w:spacing w:after="0" w:line="282" w:lineRule="auto"/>
        <w:tabs>
          <w:tab w:leader="none" w:pos="439"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 Requirements</w:t>
      </w:r>
      <w:r>
        <w:rPr>
          <w:rFonts w:ascii="Times New Roman" w:cs="Times New Roman" w:eastAsia="Times New Roman" w:hAnsi="Times New Roman"/>
          <w:sz w:val="18"/>
          <w:szCs w:val="18"/>
          <w:color w:val="auto"/>
        </w:rPr>
        <w:t>. The Seller will provide to the Administrator (in multiple copies, if requested by the Administrator) and each Purchaser Agent the following:</w:t>
      </w:r>
    </w:p>
    <w:p>
      <w:pPr>
        <w:spacing w:after="0" w:line="53" w:lineRule="exact"/>
        <w:rPr>
          <w:rFonts w:ascii="Times New Roman" w:cs="Times New Roman" w:eastAsia="Times New Roman" w:hAnsi="Times New Roman"/>
          <w:sz w:val="18"/>
          <w:szCs w:val="18"/>
          <w:color w:val="auto"/>
        </w:rPr>
      </w:pPr>
    </w:p>
    <w:p>
      <w:pPr>
        <w:ind w:left="4" w:right="160" w:firstLine="419"/>
        <w:spacing w:after="0" w:line="282" w:lineRule="auto"/>
        <w:tabs>
          <w:tab w:leader="none" w:pos="641"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ninety (90) days after the end of each fiscal year of the Seller, a copy of the annual report for such year for the Seller, containing unaudited financial statements for such year certified as to accuracy by the chief financial officer or treasurer of the Seller;</w:t>
      </w:r>
    </w:p>
    <w:p>
      <w:pPr>
        <w:spacing w:after="0" w:line="53" w:lineRule="exact"/>
        <w:rPr>
          <w:rFonts w:ascii="Times New Roman" w:cs="Times New Roman" w:eastAsia="Times New Roman" w:hAnsi="Times New Roman"/>
          <w:sz w:val="18"/>
          <w:szCs w:val="18"/>
          <w:color w:val="auto"/>
        </w:rPr>
      </w:pPr>
    </w:p>
    <w:p>
      <w:pPr>
        <w:jc w:val="both"/>
        <w:ind w:left="4" w:right="120" w:firstLine="419"/>
        <w:spacing w:after="0" w:line="266" w:lineRule="auto"/>
        <w:tabs>
          <w:tab w:leader="none" w:pos="691"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(5) days after the occurrence of each Termination Event or Unmatured Termination Event, a statement of the chief financial officer of the Seller setting forth details of such Termination Event or Unmatured Termination Event and the action that the Seller has taken and proposes to take with respect thereto;</w:t>
      </w:r>
    </w:p>
    <w:p>
      <w:pPr>
        <w:spacing w:after="0" w:line="67" w:lineRule="exact"/>
        <w:rPr>
          <w:rFonts w:ascii="Times New Roman" w:cs="Times New Roman" w:eastAsia="Times New Roman" w:hAnsi="Times New Roman"/>
          <w:sz w:val="18"/>
          <w:szCs w:val="18"/>
          <w:color w:val="auto"/>
        </w:rPr>
      </w:pPr>
    </w:p>
    <w:p>
      <w:pPr>
        <w:ind w:left="4" w:right="20" w:firstLine="419"/>
        <w:spacing w:after="0" w:line="277" w:lineRule="auto"/>
        <w:tabs>
          <w:tab w:leader="none" w:pos="741" w:val="left"/>
        </w:tabs>
        <w:numPr>
          <w:ilvl w:val="1"/>
          <w:numId w:val="2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after the filing or receiving thereof, copies of all material reports and notices that the Seller or any Affiliate files under ERISA with the Internal Revenue Service, the Pension Benefit Guaranty Corporation or the U.S. Department of Labor or that the Seller or any Affiliate receives from any of the foregoing or from any multiemployer plan (within the meaning of Section 4001(a)(3) of ERISA) to which the Seller or any of its Affiliates is or was, within the preceding five years, a contributing employer, in each case in respect of the assessment of withdrawal liability or an event or condition that could, in the aggregate, result in the imposition of liability on the Seller and/or any such Affiliate;</w:t>
      </w:r>
    </w:p>
    <w:p>
      <w:pPr>
        <w:sectPr>
          <w:pgSz w:w="11900" w:h="16838" w:orient="portrait"/>
          <w:cols w:equalWidth="0" w:num="1">
            <w:col w:w="10524"/>
          </w:cols>
          <w:pgMar w:left="876" w:top="270" w:right="499" w:bottom="1440" w:gutter="0" w:footer="0" w:header="0"/>
        </w:sectPr>
      </w:pPr>
    </w:p>
    <w:bookmarkStart w:id="255" w:name="page256"/>
    <w:bookmarkEnd w:id="255"/>
    <w:p>
      <w:pPr>
        <w:ind w:right="200" w:firstLine="419"/>
        <w:spacing w:after="0" w:line="282" w:lineRule="auto"/>
        <w:tabs>
          <w:tab w:leader="none" w:pos="728"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least thirty days (or such shorter period as agreed to in writing by the Administrator) before any change in the Seller’s name or any other change requiring the amendment of UCC financing statements, a notice setting forth such changes and the effective date thereof;</w:t>
      </w:r>
    </w:p>
    <w:p>
      <w:pPr>
        <w:spacing w:after="0" w:line="53" w:lineRule="exact"/>
        <w:rPr>
          <w:rFonts w:ascii="Times New Roman" w:cs="Times New Roman" w:eastAsia="Times New Roman" w:hAnsi="Times New Roman"/>
          <w:sz w:val="18"/>
          <w:szCs w:val="18"/>
          <w:color w:val="auto"/>
        </w:rPr>
      </w:pPr>
    </w:p>
    <w:p>
      <w:pPr>
        <w:ind w:right="140" w:firstLine="419"/>
        <w:spacing w:after="0" w:line="282" w:lineRule="auto"/>
        <w:tabs>
          <w:tab w:leader="none" w:pos="678"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Seller obtains knowledge thereof, notice of any: (A) material litigation, investigation or proceeding that may exist at any time between the Seller and any Person or (B) material litigation or proceeding relating to any Transaction Document;</w:t>
      </w:r>
    </w:p>
    <w:p>
      <w:pPr>
        <w:spacing w:after="0" w:line="53" w:lineRule="exact"/>
        <w:rPr>
          <w:rFonts w:ascii="Times New Roman" w:cs="Times New Roman" w:eastAsia="Times New Roman" w:hAnsi="Times New Roman"/>
          <w:sz w:val="18"/>
          <w:szCs w:val="18"/>
          <w:color w:val="auto"/>
        </w:rPr>
      </w:pPr>
    </w:p>
    <w:p>
      <w:pPr>
        <w:ind w:right="360" w:firstLine="419"/>
        <w:spacing w:after="0" w:line="282" w:lineRule="auto"/>
        <w:tabs>
          <w:tab w:leader="none" w:pos="728"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occurrence thereof, notice of a material adverse change in the business, operations, property or financial or other condition of the Seller, or to its knowledge, the Servicer or any Originator;</w:t>
      </w:r>
    </w:p>
    <w:p>
      <w:pPr>
        <w:spacing w:after="0" w:line="53" w:lineRule="exact"/>
        <w:rPr>
          <w:rFonts w:ascii="Times New Roman" w:cs="Times New Roman" w:eastAsia="Times New Roman" w:hAnsi="Times New Roman"/>
          <w:sz w:val="18"/>
          <w:szCs w:val="18"/>
          <w:color w:val="auto"/>
        </w:rPr>
      </w:pPr>
    </w:p>
    <w:p>
      <w:pPr>
        <w:ind w:right="60" w:firstLine="419"/>
        <w:spacing w:after="0" w:line="282" w:lineRule="auto"/>
        <w:tabs>
          <w:tab w:leader="none" w:pos="778"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(5) days after the occurrence of any joinder of a Subject Originator without the consent of the Majority Purchasers (or such later date may be agreed to by the Administrator), a copy of such joinder;</w:t>
      </w:r>
    </w:p>
    <w:p>
      <w:pPr>
        <w:spacing w:after="0" w:line="53" w:lineRule="exact"/>
        <w:rPr>
          <w:rFonts w:ascii="Times New Roman" w:cs="Times New Roman" w:eastAsia="Times New Roman" w:hAnsi="Times New Roman"/>
          <w:sz w:val="18"/>
          <w:szCs w:val="18"/>
          <w:color w:val="auto"/>
        </w:rPr>
      </w:pPr>
    </w:p>
    <w:p>
      <w:pPr>
        <w:ind w:firstLine="419"/>
        <w:spacing w:after="0" w:line="282" w:lineRule="auto"/>
        <w:tabs>
          <w:tab w:leader="none" w:pos="828"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information respecting the Receivables or the condition or operations, financial or otherwise, of the Seller or any Originator as the Administrator or any Purchaser Agent may from time to time reasonably request;</w:t>
      </w:r>
    </w:p>
    <w:p>
      <w:pPr>
        <w:spacing w:after="0" w:line="53" w:lineRule="exact"/>
        <w:rPr>
          <w:rFonts w:ascii="Times New Roman" w:cs="Times New Roman" w:eastAsia="Times New Roman" w:hAnsi="Times New Roman"/>
          <w:sz w:val="18"/>
          <w:szCs w:val="18"/>
          <w:color w:val="auto"/>
        </w:rPr>
      </w:pPr>
    </w:p>
    <w:p>
      <w:pPr>
        <w:ind w:firstLine="419"/>
        <w:spacing w:after="0" w:line="261" w:lineRule="auto"/>
        <w:tabs>
          <w:tab w:leader="none" w:pos="728"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information available to the Seller or any of its Affiliates reasonably requested by the Administrator or any Purchaser in order to assist any Purchaser in complying with any of its obligations under Article 5 of the EU Securitisation Regulation or Article 5 of the UK Securitisation Regulation, as applicable, and any other due diligence provision of the EU Securitisation Regulation Rules or the UK Securitisation Regulation Rules, as applicable, in relation to the Transaction Documents and the transactions contemplated thereby; and</w:t>
      </w:r>
    </w:p>
    <w:p>
      <w:pPr>
        <w:spacing w:after="0" w:line="71" w:lineRule="exact"/>
        <w:rPr>
          <w:rFonts w:ascii="Times New Roman" w:cs="Times New Roman" w:eastAsia="Times New Roman" w:hAnsi="Times New Roman"/>
          <w:sz w:val="18"/>
          <w:szCs w:val="18"/>
          <w:color w:val="auto"/>
        </w:rPr>
      </w:pPr>
    </w:p>
    <w:p>
      <w:pPr>
        <w:ind w:right="60" w:firstLine="419"/>
        <w:spacing w:after="0" w:line="261" w:lineRule="auto"/>
        <w:tabs>
          <w:tab w:leader="none" w:pos="678"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to the extent such data is reasonably available to the Seller or any of its Affiliates without additional burden or out-of-pocket expense, information regarding the Receivables as any Purchaser may reasonably request in connection with the analysis by such Purchaser of capital treatment under the accord known as Basel II, Basel III or other regulatory capital guidelines as relates to the transactions contemplated in the Transaction Documents.</w:t>
      </w:r>
    </w:p>
    <w:p>
      <w:pPr>
        <w:spacing w:after="0" w:line="72" w:lineRule="exact"/>
        <w:rPr>
          <w:sz w:val="20"/>
          <w:szCs w:val="20"/>
          <w:color w:val="auto"/>
        </w:rPr>
      </w:pPr>
    </w:p>
    <w:p>
      <w:pPr>
        <w:ind w:firstLine="423"/>
        <w:spacing w:after="0" w:line="258" w:lineRule="auto"/>
        <w:rPr>
          <w:sz w:val="20"/>
          <w:szCs w:val="20"/>
          <w:color w:val="auto"/>
        </w:rPr>
      </w:pPr>
      <w:r>
        <w:rPr>
          <w:rFonts w:ascii="Times New Roman" w:cs="Times New Roman" w:eastAsia="Times New Roman" w:hAnsi="Times New Roman"/>
          <w:sz w:val="18"/>
          <w:szCs w:val="18"/>
          <w:color w:val="auto"/>
        </w:rPr>
        <w:t xml:space="preserve">Information required to be delivered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this Section shall be deemed to have been delivered if such information, or one or more annual or quarterly reports or current reports containing such information, shall have been posted by the Administrator on a SyndTrak, IntraLinks or similar site to which the Purchasers have been granted access or shall be available on the website of the Securities and Exchange Commission at http://www.sec.gov or on the website of Holdings. Each Purchaser shall be solely responsible for timely accessing posted documents and maintaining its copies of such documents.</w:t>
      </w:r>
    </w:p>
    <w:p>
      <w:pPr>
        <w:sectPr>
          <w:pgSz w:w="11900" w:h="16838" w:orient="portrait"/>
          <w:cols w:equalWidth="0" w:num="1">
            <w:col w:w="10520"/>
          </w:cols>
          <w:pgMar w:left="880" w:top="270" w:right="499" w:bottom="1440" w:gutter="0" w:footer="0" w:header="0"/>
        </w:sectPr>
      </w:pPr>
    </w:p>
    <w:bookmarkStart w:id="256" w:name="page257"/>
    <w:bookmarkEnd w:id="256"/>
    <w:p>
      <w:pPr>
        <w:ind w:left="4" w:right="220" w:firstLine="436"/>
        <w:spacing w:after="0" w:line="266" w:lineRule="auto"/>
        <w:tabs>
          <w:tab w:leader="none" w:pos="759"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Agreements</w:t>
      </w:r>
      <w:r>
        <w:rPr>
          <w:rFonts w:ascii="Times New Roman" w:cs="Times New Roman" w:eastAsia="Times New Roman" w:hAnsi="Times New Roman"/>
          <w:sz w:val="18"/>
          <w:szCs w:val="18"/>
          <w:color w:val="auto"/>
        </w:rPr>
        <w:t>. Without the prior written consent of the Administrator and the Majority Purchasers, the Seller will not (and will not agree with any Originator to) amend, modify, waive, revoke or terminate any Transaction Document to which it is a party or any provision of Seller’s certificate of incorporation or by-laws.</w:t>
      </w:r>
    </w:p>
    <w:p>
      <w:pPr>
        <w:spacing w:after="0" w:line="67" w:lineRule="exact"/>
        <w:rPr>
          <w:rFonts w:ascii="Times New Roman" w:cs="Times New Roman" w:eastAsia="Times New Roman" w:hAnsi="Times New Roman"/>
          <w:sz w:val="18"/>
          <w:szCs w:val="18"/>
          <w:color w:val="auto"/>
        </w:rPr>
      </w:pPr>
    </w:p>
    <w:p>
      <w:pPr>
        <w:ind w:left="764" w:hanging="324"/>
        <w:spacing w:after="0"/>
        <w:tabs>
          <w:tab w:leader="none" w:pos="764"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 xml:space="preserve">. (i) Except pursuant to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below, the Seller will not: (A) purchase or redeem any shares of its capital stock,</w:t>
      </w:r>
    </w:p>
    <w:p>
      <w:pPr>
        <w:spacing w:after="0" w:line="27"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any dividend or set aside any funds for any such purpose, (C) prepay, purchase or redeem any Debt, (D) lend or advance any funds or</w:t>
      </w:r>
    </w:p>
    <w:p>
      <w:pPr>
        <w:spacing w:after="0" w:line="9" w:lineRule="exact"/>
        <w:rPr>
          <w:rFonts w:ascii="Times New Roman" w:cs="Times New Roman" w:eastAsia="Times New Roman" w:hAnsi="Times New Roman"/>
          <w:sz w:val="18"/>
          <w:szCs w:val="18"/>
          <w:color w:val="auto"/>
        </w:rPr>
      </w:pPr>
    </w:p>
    <w:p>
      <w:pPr>
        <w:ind w:left="4" w:right="240" w:hanging="4"/>
        <w:spacing w:after="0" w:line="260" w:lineRule="auto"/>
        <w:tabs>
          <w:tab w:leader="none" w:pos="279"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repay any loans or advances to, for or from any of its Affiliates (the amounts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being referred to as “</w:t>
      </w:r>
      <w:r>
        <w:rPr>
          <w:rFonts w:ascii="Times New Roman" w:cs="Times New Roman" w:eastAsia="Times New Roman" w:hAnsi="Times New Roman"/>
          <w:sz w:val="18"/>
          <w:szCs w:val="18"/>
          <w:u w:val="single" w:color="auto"/>
          <w:color w:val="auto"/>
        </w:rPr>
        <w:t>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w:t>
      </w:r>
    </w:p>
    <w:p>
      <w:pPr>
        <w:spacing w:after="0" w:line="73" w:lineRule="exact"/>
        <w:rPr>
          <w:rFonts w:ascii="Times New Roman" w:cs="Times New Roman" w:eastAsia="Times New Roman" w:hAnsi="Times New Roman"/>
          <w:sz w:val="18"/>
          <w:szCs w:val="18"/>
          <w:color w:val="auto"/>
        </w:rPr>
      </w:pPr>
    </w:p>
    <w:p>
      <w:pPr>
        <w:ind w:left="444" w:firstLine="419"/>
        <w:spacing w:after="0" w:line="266" w:lineRule="auto"/>
        <w:tabs>
          <w:tab w:leader="none" w:pos="1132" w:val="left"/>
        </w:tabs>
        <w:numPr>
          <w:ilvl w:val="2"/>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limitation set forth in clause (iii) below, the Seller may make Restricted Payments so long as such Restricted Payments are made only in one or more of the following ways: (A) the Seller may make cash payments (including prepayments) of the Company Note in accordance with its terms, and (B) the Seller may declare and pay dividends.</w:t>
      </w:r>
    </w:p>
    <w:p>
      <w:pPr>
        <w:spacing w:after="0" w:line="67" w:lineRule="exact"/>
        <w:rPr>
          <w:rFonts w:ascii="Times New Roman" w:cs="Times New Roman" w:eastAsia="Times New Roman" w:hAnsi="Times New Roman"/>
          <w:sz w:val="18"/>
          <w:szCs w:val="18"/>
          <w:color w:val="auto"/>
        </w:rPr>
      </w:pPr>
    </w:p>
    <w:p>
      <w:pPr>
        <w:ind w:left="444" w:firstLine="419"/>
        <w:spacing w:after="0" w:line="261" w:lineRule="auto"/>
        <w:tabs>
          <w:tab w:leader="none" w:pos="1182" w:val="left"/>
        </w:tabs>
        <w:numPr>
          <w:ilvl w:val="2"/>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Seller may make Restricted Payments only out of the funds it receives pursuant to </w:t>
      </w:r>
      <w:r>
        <w:rPr>
          <w:rFonts w:ascii="Times New Roman" w:cs="Times New Roman" w:eastAsia="Times New Roman" w:hAnsi="Times New Roman"/>
          <w:sz w:val="18"/>
          <w:szCs w:val="18"/>
          <w:u w:val="single" w:color="auto"/>
          <w:color w:val="auto"/>
        </w:rPr>
        <w:t>Sections 1.4(b)(ii)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of this Agreement. Furthermore, the Seller shall not pay, make or declare: (A) any dividend if, after giving effect thereto, the Seller’s tangible net worth would be less than $50,000,000 or (B) any Restricted Payment (including any dividend) if, after giving effect thereto, any Termination Event or Unmatured Termination Event shall have occurred and be continuing.</w:t>
      </w:r>
    </w:p>
    <w:p>
      <w:pPr>
        <w:spacing w:after="0" w:line="71" w:lineRule="exact"/>
        <w:rPr>
          <w:rFonts w:ascii="Times New Roman" w:cs="Times New Roman" w:eastAsia="Times New Roman" w:hAnsi="Times New Roman"/>
          <w:sz w:val="18"/>
          <w:szCs w:val="18"/>
          <w:color w:val="auto"/>
        </w:rPr>
      </w:pPr>
    </w:p>
    <w:p>
      <w:pPr>
        <w:ind w:left="884" w:hanging="444"/>
        <w:spacing w:after="0"/>
        <w:tabs>
          <w:tab w:leader="none" w:pos="884"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Business</w:t>
      </w:r>
      <w:r>
        <w:rPr>
          <w:rFonts w:ascii="Times New Roman" w:cs="Times New Roman" w:eastAsia="Times New Roman" w:hAnsi="Times New Roman"/>
          <w:sz w:val="18"/>
          <w:szCs w:val="18"/>
          <w:color w:val="auto"/>
        </w:rPr>
        <w:t>. The Seller will not: (i) engage in any business other than the transactions contemplated by the Transaction Documents;</w:t>
      </w:r>
    </w:p>
    <w:p>
      <w:pPr>
        <w:spacing w:after="0" w:line="27" w:lineRule="exact"/>
        <w:rPr>
          <w:sz w:val="20"/>
          <w:szCs w:val="20"/>
          <w:color w:val="auto"/>
        </w:rPr>
      </w:pPr>
    </w:p>
    <w:p>
      <w:pPr>
        <w:ind w:left="4" w:right="340" w:hanging="4"/>
        <w:spacing w:after="0" w:line="253" w:lineRule="auto"/>
        <w:tabs>
          <w:tab w:leader="none" w:pos="269"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create, incur or permit to exist any Debt of any kind (or cause or permit to be issued for its account any letters of credit or bankers’ acceptances) other than pursuant to this Agreement or the Company Note; or (iii) form any Subsidiary or make any investments in any 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Seller shall be permitted to incur minimal obligations to the extent necessary for the day-to-day operations of the Seller (such as expenses for stationery, audits, maintenance of legal status, etc.).</w:t>
      </w:r>
    </w:p>
    <w:p>
      <w:pPr>
        <w:spacing w:after="0" w:line="80" w:lineRule="exact"/>
        <w:rPr>
          <w:rFonts w:ascii="Times New Roman" w:cs="Times New Roman" w:eastAsia="Times New Roman" w:hAnsi="Times New Roman"/>
          <w:sz w:val="18"/>
          <w:szCs w:val="18"/>
          <w:color w:val="auto"/>
        </w:rPr>
      </w:pPr>
    </w:p>
    <w:p>
      <w:pPr>
        <w:ind w:left="764" w:hanging="324"/>
        <w:spacing w:after="0"/>
        <w:tabs>
          <w:tab w:leader="none" w:pos="764"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Seller’s Share of Collections</w:t>
      </w:r>
      <w:r>
        <w:rPr>
          <w:rFonts w:ascii="Times New Roman" w:cs="Times New Roman" w:eastAsia="Times New Roman" w:hAnsi="Times New Roman"/>
          <w:sz w:val="18"/>
          <w:szCs w:val="18"/>
          <w:color w:val="auto"/>
        </w:rPr>
        <w:t>. The Seller shall apply the Seller’s Share of Collections to make payments in the following order of</w:t>
      </w:r>
    </w:p>
    <w:p>
      <w:pPr>
        <w:spacing w:after="0" w:line="27" w:lineRule="exact"/>
        <w:rPr>
          <w:rFonts w:ascii="Times New Roman" w:cs="Times New Roman" w:eastAsia="Times New Roman" w:hAnsi="Times New Roman"/>
          <w:sz w:val="18"/>
          <w:szCs w:val="18"/>
          <w:color w:val="auto"/>
        </w:rPr>
      </w:pPr>
    </w:p>
    <w:p>
      <w:pPr>
        <w:ind w:left="4" w:right="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priority: (i) the payment of its expenses (including all obligations payable to the Purchaser Groups and the Administrator under this Agreement and under each Purchaser Group Fee Letter); (ii) the payment of accrued and unpaid interest on the Company Note; and (iii) other legal and valid corporate purposes.</w:t>
      </w:r>
    </w:p>
    <w:p>
      <w:pPr>
        <w:spacing w:after="0" w:line="77" w:lineRule="exact"/>
        <w:rPr>
          <w:rFonts w:ascii="Times New Roman" w:cs="Times New Roman" w:eastAsia="Times New Roman" w:hAnsi="Times New Roman"/>
          <w:sz w:val="18"/>
          <w:szCs w:val="18"/>
          <w:color w:val="auto"/>
        </w:rPr>
      </w:pPr>
    </w:p>
    <w:p>
      <w:pPr>
        <w:ind w:left="1024" w:hanging="584"/>
        <w:spacing w:after="0"/>
        <w:tabs>
          <w:tab w:leader="none" w:pos="1024"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Tangible Net Worth</w:t>
      </w:r>
      <w:r>
        <w:rPr>
          <w:rFonts w:ascii="Times New Roman" w:cs="Times New Roman" w:eastAsia="Times New Roman" w:hAnsi="Times New Roman"/>
          <w:sz w:val="18"/>
          <w:szCs w:val="18"/>
          <w:color w:val="auto"/>
        </w:rPr>
        <w:t>. The Seller will not permit its tangible net worth, at any time, to be less than $50,000,000.</w:t>
      </w:r>
    </w:p>
    <w:p>
      <w:pPr>
        <w:spacing w:after="0" w:line="117" w:lineRule="exact"/>
        <w:rPr>
          <w:rFonts w:ascii="Times New Roman" w:cs="Times New Roman" w:eastAsia="Times New Roman" w:hAnsi="Times New Roman"/>
          <w:sz w:val="18"/>
          <w:szCs w:val="18"/>
          <w:color w:val="auto"/>
        </w:rPr>
      </w:pPr>
    </w:p>
    <w:p>
      <w:pPr>
        <w:ind w:left="4" w:right="20" w:firstLine="436"/>
        <w:spacing w:after="0" w:line="266" w:lineRule="auto"/>
        <w:tabs>
          <w:tab w:leader="none" w:pos="879"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Exclusion of Credit Memos</w:t>
      </w:r>
      <w:r>
        <w:rPr>
          <w:rFonts w:ascii="Times New Roman" w:cs="Times New Roman" w:eastAsia="Times New Roman" w:hAnsi="Times New Roman"/>
          <w:sz w:val="18"/>
          <w:szCs w:val="18"/>
          <w:color w:val="auto"/>
        </w:rPr>
        <w:t xml:space="preserve">. As soon as possible, the Seller shall (and shall cause each Originator and the Servicer to) remove credit memos from any aging schedules contained in or used to calculate the information set forth in each Information Package delivered pursuant to </w:t>
      </w:r>
      <w:r>
        <w:rPr>
          <w:rFonts w:ascii="Times New Roman" w:cs="Times New Roman" w:eastAsia="Times New Roman" w:hAnsi="Times New Roman"/>
          <w:sz w:val="18"/>
          <w:szCs w:val="18"/>
          <w:u w:val="single" w:color="auto"/>
          <w:color w:val="auto"/>
        </w:rPr>
        <w:t>Section 2(i)(iii)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Exhibit IV</w:t>
      </w:r>
      <w:r>
        <w:rPr>
          <w:rFonts w:ascii="Times New Roman" w:cs="Times New Roman" w:eastAsia="Times New Roman" w:hAnsi="Times New Roman"/>
          <w:sz w:val="18"/>
          <w:szCs w:val="18"/>
          <w:color w:val="auto"/>
        </w:rPr>
        <w:t xml:space="preserve"> to this Agreement.</w:t>
      </w:r>
    </w:p>
    <w:p>
      <w:pPr>
        <w:spacing w:after="0" w:line="67" w:lineRule="exact"/>
        <w:rPr>
          <w:rFonts w:ascii="Times New Roman" w:cs="Times New Roman" w:eastAsia="Times New Roman" w:hAnsi="Times New Roman"/>
          <w:sz w:val="18"/>
          <w:szCs w:val="18"/>
          <w:color w:val="auto"/>
        </w:rPr>
      </w:pPr>
    </w:p>
    <w:p>
      <w:pPr>
        <w:ind w:left="884" w:hanging="444"/>
        <w:spacing w:after="0"/>
        <w:tabs>
          <w:tab w:leader="none" w:pos="884"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ectPr>
          <w:pgSz w:w="11900" w:h="16838" w:orient="portrait"/>
          <w:cols w:equalWidth="0" w:num="1">
            <w:col w:w="10984"/>
          </w:cols>
          <w:pgMar w:left="436" w:top="270" w:right="479" w:bottom="1440" w:gutter="0" w:footer="0" w:header="0"/>
        </w:sectPr>
      </w:pPr>
    </w:p>
    <w:bookmarkStart w:id="257" w:name="page258"/>
    <w:bookmarkEnd w:id="257"/>
    <w:p>
      <w:pPr>
        <w:ind w:left="444" w:hanging="444"/>
        <w:spacing w:after="0"/>
        <w:tabs>
          <w:tab w:leader="none" w:pos="444"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Sanctions and other Anti-Terrorism Laws; Anti-Corruption Laws</w:t>
      </w:r>
      <w:r>
        <w:rPr>
          <w:rFonts w:ascii="Times New Roman" w:cs="Times New Roman" w:eastAsia="Times New Roman" w:hAnsi="Times New Roman"/>
          <w:sz w:val="18"/>
          <w:szCs w:val="18"/>
          <w:color w:val="auto"/>
        </w:rPr>
        <w:t>. The Seller covenants and agrees that:</w:t>
      </w:r>
    </w:p>
    <w:p>
      <w:pPr>
        <w:spacing w:after="0" w:line="117" w:lineRule="exact"/>
        <w:rPr>
          <w:rFonts w:ascii="Times New Roman" w:cs="Times New Roman" w:eastAsia="Times New Roman" w:hAnsi="Times New Roman"/>
          <w:sz w:val="18"/>
          <w:szCs w:val="18"/>
          <w:color w:val="auto"/>
        </w:rPr>
      </w:pPr>
    </w:p>
    <w:p>
      <w:pPr>
        <w:ind w:left="4" w:firstLine="419"/>
        <w:spacing w:after="0" w:line="266" w:lineRule="auto"/>
        <w:tabs>
          <w:tab w:leader="none" w:pos="641"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and shall require each other Covered Entity to, conduct its business in compliance with all Anti-Corruption Laws in all material respects and maintain policies and procedures designed, in Seller’s reasonable business judgment, to ensure compliance with such Anti-Corruption Laws in all material respects;</w:t>
      </w:r>
    </w:p>
    <w:p>
      <w:pPr>
        <w:spacing w:after="0" w:line="67" w:lineRule="exact"/>
        <w:rPr>
          <w:rFonts w:ascii="Times New Roman" w:cs="Times New Roman" w:eastAsia="Times New Roman" w:hAnsi="Times New Roman"/>
          <w:sz w:val="18"/>
          <w:szCs w:val="18"/>
          <w:color w:val="auto"/>
        </w:rPr>
      </w:pPr>
    </w:p>
    <w:p>
      <w:pPr>
        <w:ind w:left="4" w:right="60" w:firstLine="419"/>
        <w:spacing w:after="0" w:line="254" w:lineRule="auto"/>
        <w:tabs>
          <w:tab w:leader="none" w:pos="691"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and its Subsidiaries will not: (A) become a Sanctioned Person or allow </w:t>
      </w:r>
      <w:r>
        <w:rPr>
          <w:rFonts w:ascii="Times New Roman" w:cs="Times New Roman" w:eastAsia="Times New Roman" w:hAnsi="Times New Roman"/>
          <w:sz w:val="18"/>
          <w:szCs w:val="18"/>
          <w:color w:val="FF0000"/>
          <w:strike w:val="1"/>
        </w:rPr>
        <w:t>any</w:t>
      </w:r>
      <w:r>
        <w:rPr>
          <w:rFonts w:ascii="Times New Roman" w:cs="Times New Roman" w:eastAsia="Times New Roman" w:hAnsi="Times New Roman"/>
          <w:sz w:val="18"/>
          <w:szCs w:val="18"/>
          <w:u w:val="single" w:color="auto"/>
          <w:color w:val="0000FF"/>
        </w:rPr>
        <w:t>its</w:t>
      </w:r>
      <w:r>
        <w:rPr>
          <w:rFonts w:ascii="Times New Roman" w:cs="Times New Roman" w:eastAsia="Times New Roman" w:hAnsi="Times New Roman"/>
          <w:sz w:val="18"/>
          <w:szCs w:val="18"/>
          <w:color w:val="auto"/>
        </w:rPr>
        <w:t xml:space="preserve"> employees, officers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or</w:t>
      </w:r>
      <w:r>
        <w:rPr>
          <w:rFonts w:ascii="Times New Roman" w:cs="Times New Roman" w:eastAsia="Times New Roman" w:hAnsi="Times New Roman"/>
          <w:sz w:val="18"/>
          <w:szCs w:val="18"/>
          <w:color w:val="auto"/>
        </w:rPr>
        <w:t xml:space="preserve"> directors</w:t>
      </w:r>
      <w:r>
        <w:rPr>
          <w:rFonts w:ascii="Times New Roman" w:cs="Times New Roman" w:eastAsia="Times New Roman" w:hAnsi="Times New Roman"/>
          <w:sz w:val="18"/>
          <w:szCs w:val="18"/>
          <w:color w:val="FF0000"/>
          <w:strike w:val="1"/>
        </w:rPr>
        <w:t>, affiliates, consultants,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brokers, or agents acting on its behalf in connection with this Agreement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to become a Sanctioned Person; (B) directly, or indirectly through a third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party, engage in any transactions or other dealings with or for the benefit of any Sanctioned Person or Sanctioned Jurisdiction, including any use of the proceeds of the Investments to fund any operations in, finance any investments or activities in, or, make any payments to, a Sanctioned Person or Sanctioned Jurisdiction; (C) pay or repay obligations with </w:t>
      </w:r>
      <w:r>
        <w:rPr>
          <w:rFonts w:ascii="Times New Roman" w:cs="Times New Roman" w:eastAsia="Times New Roman" w:hAnsi="Times New Roman"/>
          <w:sz w:val="18"/>
          <w:szCs w:val="18"/>
          <w:color w:val="FF0000"/>
          <w:strike w:val="1"/>
        </w:rPr>
        <w:t>Embargoed</w:t>
      </w:r>
      <w:r>
        <w:rPr>
          <w:rFonts w:ascii="Times New Roman" w:cs="Times New Roman" w:eastAsia="Times New Roman" w:hAnsi="Times New Roman"/>
          <w:sz w:val="18"/>
          <w:szCs w:val="18"/>
          <w:u w:val="single" w:color="auto"/>
          <w:color w:val="0000FF"/>
        </w:rPr>
        <w:t>Blocked</w:t>
      </w:r>
      <w:r>
        <w:rPr>
          <w:rFonts w:ascii="Times New Roman" w:cs="Times New Roman" w:eastAsia="Times New Roman" w:hAnsi="Times New Roman"/>
          <w:sz w:val="18"/>
          <w:szCs w:val="18"/>
          <w:color w:val="000000"/>
        </w:rPr>
        <w:t xml:space="preserve"> Property or funds derived from any unlawful activity;</w:t>
      </w:r>
    </w:p>
    <w:p>
      <w:pPr>
        <w:spacing w:after="0" w:line="3" w:lineRule="exact"/>
        <w:rPr>
          <w:rFonts w:ascii="Times New Roman" w:cs="Times New Roman" w:eastAsia="Times New Roman" w:hAnsi="Times New Roman"/>
          <w:sz w:val="18"/>
          <w:szCs w:val="18"/>
          <w:color w:val="auto"/>
        </w:rPr>
      </w:pPr>
    </w:p>
    <w:p>
      <w:pPr>
        <w:ind w:left="4" w:right="7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 permit any Pool Assets to become </w:t>
      </w:r>
      <w:r>
        <w:rPr>
          <w:rFonts w:ascii="Times New Roman" w:cs="Times New Roman" w:eastAsia="Times New Roman" w:hAnsi="Times New Roman"/>
          <w:sz w:val="18"/>
          <w:szCs w:val="18"/>
          <w:color w:val="FF0000"/>
          <w:strike w:val="1"/>
        </w:rPr>
        <w:t>Embargoed</w:t>
      </w:r>
      <w:r>
        <w:rPr>
          <w:rFonts w:ascii="Times New Roman" w:cs="Times New Roman" w:eastAsia="Times New Roman" w:hAnsi="Times New Roman"/>
          <w:sz w:val="18"/>
          <w:szCs w:val="18"/>
          <w:u w:val="single" w:color="auto"/>
          <w:color w:val="0000FF"/>
        </w:rPr>
        <w:t>Blocked</w:t>
      </w:r>
      <w:r>
        <w:rPr>
          <w:rFonts w:ascii="Times New Roman" w:cs="Times New Roman" w:eastAsia="Times New Roman" w:hAnsi="Times New Roman"/>
          <w:sz w:val="18"/>
          <w:szCs w:val="18"/>
          <w:color w:val="auto"/>
        </w:rPr>
        <w:t xml:space="preserve"> Property; or (E) cause any Purchaser or the Administrator to violate any Anti-Terrorism Law in any material respects; and</w:t>
      </w:r>
    </w:p>
    <w:p>
      <w:pPr>
        <w:spacing w:after="0" w:line="73" w:lineRule="exact"/>
        <w:rPr>
          <w:rFonts w:ascii="Times New Roman" w:cs="Times New Roman" w:eastAsia="Times New Roman" w:hAnsi="Times New Roman"/>
          <w:sz w:val="18"/>
          <w:szCs w:val="18"/>
          <w:color w:val="auto"/>
        </w:rPr>
      </w:pPr>
    </w:p>
    <w:p>
      <w:pPr>
        <w:ind w:left="4" w:right="60" w:firstLine="842"/>
        <w:spacing w:after="0" w:line="261" w:lineRule="auto"/>
        <w:tabs>
          <w:tab w:leader="none" w:pos="1064" w:val="left"/>
        </w:tabs>
        <w:numPr>
          <w:ilvl w:val="2"/>
          <w:numId w:val="29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(iii) it will not, and will not permit any its Subsidiaries to, directly or indirectly, use the Investments or any proceeds thereof </w:t>
      </w:r>
      <w:r>
        <w:rPr>
          <w:rFonts w:ascii="Times New Roman" w:cs="Times New Roman" w:eastAsia="Times New Roman" w:hAnsi="Times New Roman"/>
          <w:sz w:val="18"/>
          <w:szCs w:val="18"/>
          <w:color w:val="FF0000"/>
          <w:strike w:val="1"/>
        </w:rPr>
        <w:t>for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 xml:space="preserve">purpose which would breach any Anti-Corruption Laws in any jurisdiction in which any Covered Entity conducts business. </w:t>
      </w:r>
      <w:r>
        <w:rPr>
          <w:rFonts w:ascii="Times New Roman" w:cs="Times New Roman" w:eastAsia="Times New Roman" w:hAnsi="Times New Roman"/>
          <w:sz w:val="18"/>
          <w:szCs w:val="18"/>
          <w:u w:val="single" w:color="auto"/>
          <w:color w:val="0000FF"/>
          <w:strike w:val="1"/>
        </w:rPr>
        <w:t>in any manner that</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would result in a violation by any Person of Anti-Corruption Law (including any Purchaser Party) or in violation in any material respect of any applicable Law, including, without limitation, any applicable Anti-Corruption Law.</w:t>
      </w:r>
    </w:p>
    <w:p>
      <w:pPr>
        <w:spacing w:after="0" w:line="71" w:lineRule="exact"/>
        <w:rPr>
          <w:rFonts w:ascii="Times New Roman" w:cs="Times New Roman" w:eastAsia="Times New Roman" w:hAnsi="Times New Roman"/>
          <w:sz w:val="18"/>
          <w:szCs w:val="18"/>
          <w:u w:val="single" w:color="auto"/>
          <w:color w:val="0000FF"/>
        </w:rPr>
      </w:pPr>
    </w:p>
    <w:p>
      <w:pPr>
        <w:ind w:left="444" w:hanging="444"/>
        <w:spacing w:after="0"/>
        <w:tabs>
          <w:tab w:leader="none" w:pos="444"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Liquidity Coverage Ratio</w:t>
      </w:r>
      <w:r>
        <w:rPr>
          <w:rFonts w:ascii="Times New Roman" w:cs="Times New Roman" w:eastAsia="Times New Roman" w:hAnsi="Times New Roman"/>
          <w:sz w:val="18"/>
          <w:szCs w:val="18"/>
          <w:color w:val="auto"/>
        </w:rPr>
        <w:t>. The Seller shall not issue any LCR Security.</w:t>
      </w:r>
    </w:p>
    <w:p>
      <w:pPr>
        <w:spacing w:after="0" w:line="117" w:lineRule="exact"/>
        <w:rPr>
          <w:rFonts w:ascii="Times New Roman" w:cs="Times New Roman" w:eastAsia="Times New Roman" w:hAnsi="Times New Roman"/>
          <w:sz w:val="18"/>
          <w:szCs w:val="18"/>
          <w:color w:val="auto"/>
        </w:rPr>
      </w:pPr>
    </w:p>
    <w:p>
      <w:pPr>
        <w:ind w:left="-436" w:right="120" w:firstLine="436"/>
        <w:spacing w:after="0" w:line="261" w:lineRule="auto"/>
        <w:tabs>
          <w:tab w:leader="none" w:pos="348"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Certification of Beneficial Owner(s)</w:t>
      </w:r>
      <w:r>
        <w:rPr>
          <w:rFonts w:ascii="Times New Roman" w:cs="Times New Roman" w:eastAsia="Times New Roman" w:hAnsi="Times New Roman"/>
          <w:sz w:val="18"/>
          <w:szCs w:val="18"/>
          <w:color w:val="auto"/>
        </w:rPr>
        <w:t>. Promptly following any change that would result in a change to the status as an excluded “Legal Entity Customer” under (and as defined in) the Beneficial Ownership Regulation, the Seller shall execute and deliver to the Administrator a Certification of Beneficial Owner(s) complying with the Beneficial Ownership Regulation. The information included in any Certification of Beneficial Owner(s) shall be true and correct in all respects.</w:t>
      </w:r>
    </w:p>
    <w:p>
      <w:pPr>
        <w:spacing w:after="0" w:line="71" w:lineRule="exact"/>
        <w:rPr>
          <w:rFonts w:ascii="Times New Roman" w:cs="Times New Roman" w:eastAsia="Times New Roman" w:hAnsi="Times New Roman"/>
          <w:sz w:val="18"/>
          <w:szCs w:val="18"/>
          <w:color w:val="auto"/>
        </w:rPr>
      </w:pPr>
    </w:p>
    <w:p>
      <w:pPr>
        <w:ind w:left="-436" w:right="20" w:firstLine="436"/>
        <w:spacing w:after="0" w:line="258" w:lineRule="auto"/>
        <w:tabs>
          <w:tab w:leader="none" w:pos="379"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Assistance</w:t>
      </w:r>
      <w:r>
        <w:rPr>
          <w:rFonts w:ascii="Times New Roman" w:cs="Times New Roman" w:eastAsia="Times New Roman" w:hAnsi="Times New Roman"/>
          <w:sz w:val="18"/>
          <w:szCs w:val="18"/>
          <w:color w:val="auto"/>
        </w:rPr>
        <w:t>. The Seller shall use commercially reasonable efforts to take such further action, provide such information and enter into such other agreements not otherwise provided for hereunder as may be reasonably required by the Administrator or any Purchaser in order to assist any Purchaser in complying with any of its obligations under Article 5 of the EU Securitisation Regulation or Article 5 of the UK Securitisation Regulation, as applicable, and any other due diligence provision of the EU Securitisation Regulation Rules or the UK Securitisation Regulation Rules, as applicable, in relation to the Transaction Documents and the transactions contemplated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3955415</wp:posOffset>
            </wp:positionH>
            <wp:positionV relativeFrom="paragraph">
              <wp:posOffset>-3017520</wp:posOffset>
            </wp:positionV>
            <wp:extent cx="11112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5009515</wp:posOffset>
            </wp:positionH>
            <wp:positionV relativeFrom="paragraph">
              <wp:posOffset>-3017520</wp:posOffset>
            </wp:positionV>
            <wp:extent cx="12890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5012690</wp:posOffset>
            </wp:positionH>
            <wp:positionV relativeFrom="paragraph">
              <wp:posOffset>-3051810</wp:posOffset>
            </wp:positionV>
            <wp:extent cx="12382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3825" cy="8255"/>
                    </a:xfrm>
                    <a:prstGeom prst="rect">
                      <a:avLst/>
                    </a:prstGeom>
                    <a:noFill/>
                  </pic:spPr>
                </pic:pic>
              </a:graphicData>
            </a:graphic>
          </wp:anchor>
        </w:drawing>
        <w:drawing>
          <wp:anchor simplePos="0" relativeHeight="251657728" behindDoc="1" locked="0" layoutInCell="0" allowOverlap="1">
            <wp:simplePos x="0" y="0"/>
            <wp:positionH relativeFrom="column">
              <wp:posOffset>3663950</wp:posOffset>
            </wp:positionH>
            <wp:positionV relativeFrom="paragraph">
              <wp:posOffset>-2468880</wp:posOffset>
            </wp:positionV>
            <wp:extent cx="4114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411480" cy="8255"/>
                    </a:xfrm>
                    <a:prstGeom prst="rect">
                      <a:avLst/>
                    </a:prstGeom>
                    <a:noFill/>
                  </pic:spPr>
                </pic:pic>
              </a:graphicData>
            </a:graphic>
          </wp:anchor>
        </w:drawing>
        <w:drawing>
          <wp:anchor simplePos="0" relativeHeight="251657728" behindDoc="1" locked="0" layoutInCell="0" allowOverlap="1">
            <wp:simplePos x="0" y="0"/>
            <wp:positionH relativeFrom="column">
              <wp:posOffset>2300605</wp:posOffset>
            </wp:positionH>
            <wp:positionV relativeFrom="paragraph">
              <wp:posOffset>-2331720</wp:posOffset>
            </wp:positionV>
            <wp:extent cx="40322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403225" cy="8255"/>
                    </a:xfrm>
                    <a:prstGeom prst="rect">
                      <a:avLst/>
                    </a:prstGeom>
                    <a:noFill/>
                  </pic:spPr>
                </pic:pic>
              </a:graphicData>
            </a:graphic>
          </wp:anchor>
        </w:drawing>
        <w:drawing>
          <wp:anchor simplePos="0" relativeHeight="251657728" behindDoc="1" locked="0" layoutInCell="0" allowOverlap="1">
            <wp:simplePos x="0" y="0"/>
            <wp:positionH relativeFrom="column">
              <wp:posOffset>534670</wp:posOffset>
            </wp:positionH>
            <wp:positionV relativeFrom="paragraph">
              <wp:posOffset>-1988820</wp:posOffset>
            </wp:positionV>
            <wp:extent cx="13716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-1851660</wp:posOffset>
            </wp:positionV>
            <wp:extent cx="84899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489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-1714500</wp:posOffset>
            </wp:positionV>
            <wp:extent cx="653224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53224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-1577340</wp:posOffset>
            </wp:positionV>
            <wp:extent cx="380619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806190" cy="8890"/>
                    </a:xfrm>
                    <a:prstGeom prst="rect">
                      <a:avLst/>
                    </a:prstGeom>
                    <a:noFill/>
                  </pic:spPr>
                </pic:pic>
              </a:graphicData>
            </a:graphic>
          </wp:anchor>
        </w:drawing>
      </w:r>
    </w:p>
    <w:p>
      <w:pPr>
        <w:sectPr>
          <w:pgSz w:w="11900" w:h="16838" w:orient="portrait"/>
          <w:cols w:equalWidth="0" w:num="1">
            <w:col w:w="10584"/>
          </w:cols>
          <w:pgMar w:left="876" w:top="270" w:right="439" w:bottom="1440" w:gutter="0" w:footer="0" w:header="0"/>
        </w:sectPr>
      </w:pPr>
    </w:p>
    <w:bookmarkStart w:id="258" w:name="page259"/>
    <w:bookmarkEnd w:id="258"/>
    <w:p>
      <w:pPr>
        <w:ind w:left="184" w:hanging="184"/>
        <w:spacing w:after="0"/>
        <w:tabs>
          <w:tab w:leader="none" w:pos="184"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Covenants of the Servicer and WESCO</w:t>
      </w:r>
      <w:r>
        <w:rPr>
          <w:rFonts w:ascii="Times New Roman" w:cs="Times New Roman" w:eastAsia="Times New Roman" w:hAnsi="Times New Roman"/>
          <w:sz w:val="18"/>
          <w:szCs w:val="18"/>
          <w:color w:val="auto"/>
        </w:rPr>
        <w:t>. Until the Final Payout Date:</w:t>
      </w:r>
    </w:p>
    <w:p>
      <w:pPr>
        <w:spacing w:after="0" w:line="117" w:lineRule="exact"/>
        <w:rPr>
          <w:sz w:val="20"/>
          <w:szCs w:val="20"/>
          <w:color w:val="auto"/>
        </w:rPr>
      </w:pPr>
    </w:p>
    <w:p>
      <w:pPr>
        <w:ind w:left="-436" w:right="380" w:firstLine="436"/>
        <w:spacing w:after="0" w:line="261" w:lineRule="auto"/>
        <w:tabs>
          <w:tab w:leader="none" w:pos="319"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 Etc.</w:t>
      </w:r>
      <w:r>
        <w:rPr>
          <w:rFonts w:ascii="Times New Roman" w:cs="Times New Roman" w:eastAsia="Times New Roman" w:hAnsi="Times New Roman"/>
          <w:sz w:val="18"/>
          <w:szCs w:val="18"/>
          <w:color w:val="auto"/>
        </w:rPr>
        <w:t xml:space="preserve"> The Servicer and, to the extent that it ceases to be the Servicer, WESCO shall comply (and shall cause each Originator to comply) in all material respects with all Applicable Laws, and preserve and maintain its corporate existence, rights, franchises, qualifications and privileges, except to the extent that the failure so to comply with such laws, rules and regulations or the failure so to preserve and maintain such existence, rights, franchises, qualifications and privileges would not have a Material Adverse Effect.</w:t>
      </w:r>
    </w:p>
    <w:p>
      <w:pPr>
        <w:spacing w:after="0" w:line="71" w:lineRule="exact"/>
        <w:rPr>
          <w:rFonts w:ascii="Times New Roman" w:cs="Times New Roman" w:eastAsia="Times New Roman" w:hAnsi="Times New Roman"/>
          <w:sz w:val="18"/>
          <w:szCs w:val="18"/>
          <w:color w:val="auto"/>
        </w:rPr>
      </w:pPr>
    </w:p>
    <w:p>
      <w:pPr>
        <w:ind w:left="-436" w:right="80" w:firstLine="436"/>
        <w:spacing w:after="0" w:line="253" w:lineRule="auto"/>
        <w:tabs>
          <w:tab w:leader="none" w:pos="439"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Offices, Records and Books of Account, Etc.</w:t>
      </w:r>
      <w:r>
        <w:rPr>
          <w:rFonts w:ascii="Times New Roman" w:cs="Times New Roman" w:eastAsia="Times New Roman" w:hAnsi="Times New Roman"/>
          <w:sz w:val="18"/>
          <w:szCs w:val="18"/>
          <w:color w:val="auto"/>
        </w:rPr>
        <w:t xml:space="preserve"> The Servicer and, to the extent that it ceases to be the Servicer, WESCO, shall keep (and shall cause each Originator to keep) its principal place of business, chief executive office and “location” (as such term is used in the applicable UCC) and the office where it keeps its records concerning the Receivables at the addresses of the Servicer set forth under its name on </w:t>
      </w:r>
      <w:r>
        <w:rPr>
          <w:rFonts w:ascii="Times New Roman" w:cs="Times New Roman" w:eastAsia="Times New Roman" w:hAnsi="Times New Roman"/>
          <w:sz w:val="18"/>
          <w:szCs w:val="18"/>
          <w:u w:val="single" w:color="auto"/>
          <w:color w:val="auto"/>
        </w:rPr>
        <w:t>Schedule IV</w:t>
      </w:r>
      <w:r>
        <w:rPr>
          <w:rFonts w:ascii="Times New Roman" w:cs="Times New Roman" w:eastAsia="Times New Roman" w:hAnsi="Times New Roman"/>
          <w:sz w:val="18"/>
          <w:szCs w:val="18"/>
          <w:color w:val="auto"/>
        </w:rPr>
        <w:t xml:space="preserve"> to this Agreement or, upon at least 30 days’ prior written notice of a proposed change to the Administrator, at any other locations in jurisdictions where all actions reasonably requested by the Administrator to protect and perfect the interest of the Administrator (for the benefit of each Purchaser) in the Receivables and related items (including the Pool Assets) have been taken and completed. The Servicer and, to the extent that it ceases to be the Servicer, WESCO, also will (and will cause each Originator to) maintain and implement administrative and operating procedures (including an ability to recreate records evidencing Receivables and related Contracts in the event of the destruction of the originals thereof), and keep and maintain all documents, books, records, computer tapes and disks and other information reasonably necessary or advisable for the collection of all Receivables (including records adequate to permit the daily identification of each Receivable and all Collections of and adjustments to each existing Receivable).</w:t>
      </w:r>
    </w:p>
    <w:p>
      <w:pPr>
        <w:spacing w:after="0" w:line="86" w:lineRule="exact"/>
        <w:rPr>
          <w:rFonts w:ascii="Times New Roman" w:cs="Times New Roman" w:eastAsia="Times New Roman" w:hAnsi="Times New Roman"/>
          <w:sz w:val="18"/>
          <w:szCs w:val="18"/>
          <w:color w:val="auto"/>
        </w:rPr>
      </w:pPr>
    </w:p>
    <w:p>
      <w:pPr>
        <w:ind w:left="-436" w:right="60" w:firstLine="436"/>
        <w:spacing w:after="0" w:line="261" w:lineRule="auto"/>
        <w:tabs>
          <w:tab w:leader="none" w:pos="439"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and Compliance with Contracts and Credit and Collection Policy</w:t>
      </w:r>
      <w:r>
        <w:rPr>
          <w:rFonts w:ascii="Times New Roman" w:cs="Times New Roman" w:eastAsia="Times New Roman" w:hAnsi="Times New Roman"/>
          <w:sz w:val="18"/>
          <w:szCs w:val="18"/>
          <w:color w:val="auto"/>
        </w:rPr>
        <w:t>. The Servicer and, to the extent that it ceases to be the Servicer, WESCO, shall (and shall cause Originator to), at its expense, timely and fully perform and comply with all material provisions, covenants and other promises required to be observed by it under the Contracts related to the Receivables, and timely and fully comply in all material respects with the Credit and Collection Policy with regard to each Receivable and the related Contract.</w:t>
      </w:r>
    </w:p>
    <w:p>
      <w:pPr>
        <w:spacing w:after="0" w:line="71" w:lineRule="exact"/>
        <w:rPr>
          <w:rFonts w:ascii="Times New Roman" w:cs="Times New Roman" w:eastAsia="Times New Roman" w:hAnsi="Times New Roman"/>
          <w:sz w:val="18"/>
          <w:szCs w:val="18"/>
          <w:color w:val="auto"/>
        </w:rPr>
      </w:pPr>
    </w:p>
    <w:p>
      <w:pPr>
        <w:ind w:left="-436" w:right="100" w:firstLine="436"/>
        <w:spacing w:after="0" w:line="266" w:lineRule="auto"/>
        <w:tabs>
          <w:tab w:leader="none" w:pos="559"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Extension or Amendment of Receivables</w:t>
      </w:r>
      <w:r>
        <w:rPr>
          <w:rFonts w:ascii="Times New Roman" w:cs="Times New Roman" w:eastAsia="Times New Roman" w:hAnsi="Times New Roman"/>
          <w:sz w:val="18"/>
          <w:szCs w:val="18"/>
          <w:color w:val="auto"/>
        </w:rPr>
        <w:t>. Except as provided in this Agreement, the Servicer and, to the extent that it ceases to be the Servicer, WESCO, shall not extend (and shall not permit any Originator to extend), the maturity or adjust the Outstanding Balance or otherwise modify the terms of any Pool Receivable, or amend, modify or waive any term or condition of any related Contract.</w:t>
      </w:r>
    </w:p>
    <w:p>
      <w:pPr>
        <w:spacing w:after="0" w:line="67" w:lineRule="exact"/>
        <w:rPr>
          <w:rFonts w:ascii="Times New Roman" w:cs="Times New Roman" w:eastAsia="Times New Roman" w:hAnsi="Times New Roman"/>
          <w:sz w:val="18"/>
          <w:szCs w:val="18"/>
          <w:color w:val="auto"/>
        </w:rPr>
      </w:pPr>
    </w:p>
    <w:p>
      <w:pPr>
        <w:ind w:left="-436" w:firstLine="436"/>
        <w:spacing w:after="0" w:line="281" w:lineRule="auto"/>
        <w:tabs>
          <w:tab w:leader="none" w:pos="439" w:val="left"/>
        </w:tabs>
        <w:numPr>
          <w:ilvl w:val="0"/>
          <w:numId w:val="2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in Business or Credit and Collection Policy</w:t>
      </w:r>
      <w:r>
        <w:rPr>
          <w:rFonts w:ascii="Times New Roman" w:cs="Times New Roman" w:eastAsia="Times New Roman" w:hAnsi="Times New Roman"/>
          <w:sz w:val="17"/>
          <w:szCs w:val="17"/>
          <w:color w:val="auto"/>
        </w:rPr>
        <w:t>. The Servicer and, to the extent that it ceases to be the Servicer, WESCO, shall not make (and shall not permit any Originator to make) any change in (i) the character of its business or (ii) in any Credit and Collection Policy that would have a Material Adverse Effect. The Servicer and, to the extent that it ceases to be the Servicer, WESCO, shall not make (and shall not permit any Originator to make) any other change in any Credit and Collection Policy without giving prior written notice thereof to the Administrator and each Purchaser Agent.</w:t>
      </w:r>
    </w:p>
    <w:p>
      <w:pPr>
        <w:sectPr>
          <w:pgSz w:w="11900" w:h="16838" w:orient="portrait"/>
          <w:cols w:equalWidth="0" w:num="1">
            <w:col w:w="10564"/>
          </w:cols>
          <w:pgMar w:left="876" w:top="270" w:right="459" w:bottom="1440" w:gutter="0" w:footer="0" w:header="0"/>
        </w:sectPr>
      </w:pPr>
    </w:p>
    <w:bookmarkStart w:id="259" w:name="page260"/>
    <w:bookmarkEnd w:id="259"/>
    <w:p>
      <w:pPr>
        <w:ind w:left="4" w:right="60" w:firstLine="436"/>
        <w:spacing w:after="0" w:line="272" w:lineRule="auto"/>
        <w:tabs>
          <w:tab w:leader="none" w:pos="879" w:val="left"/>
        </w:tabs>
        <w:numPr>
          <w:ilvl w:val="1"/>
          <w:numId w:val="2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Audits</w:t>
      </w:r>
      <w:r>
        <w:rPr>
          <w:rFonts w:ascii="Times New Roman" w:cs="Times New Roman" w:eastAsia="Times New Roman" w:hAnsi="Times New Roman"/>
          <w:sz w:val="17"/>
          <w:szCs w:val="17"/>
          <w:color w:val="auto"/>
        </w:rPr>
        <w:t>. The Servicer and, to the extent that it ceases to be the Servicer, WESCO, shall (and shall cause each Originator to), from time to time during regular business hours, but no more frequently than annually unless (w) a Termination Event or Unmatured Termination Event has occurred and is continuing, (x) WESCO or Holdings ceases to have a rating of at least “B-” by Standard and Poor’s on its respective corporate credit rating,</w:t>
      </w:r>
    </w:p>
    <w:p>
      <w:pPr>
        <w:spacing w:after="0" w:line="1" w:lineRule="exact"/>
        <w:rPr>
          <w:rFonts w:ascii="Times New Roman" w:cs="Times New Roman" w:eastAsia="Times New Roman" w:hAnsi="Times New Roman"/>
          <w:sz w:val="17"/>
          <w:szCs w:val="17"/>
          <w:color w:val="auto"/>
        </w:rPr>
      </w:pPr>
    </w:p>
    <w:p>
      <w:pPr>
        <w:ind w:left="4" w:right="40" w:hanging="4"/>
        <w:spacing w:after="0" w:line="268" w:lineRule="auto"/>
        <w:tabs>
          <w:tab w:leader="none" w:pos="259" w:val="left"/>
        </w:tabs>
        <w:numPr>
          <w:ilvl w:val="0"/>
          <w:numId w:val="2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Holdings’ Available Liquidity fails to exceed $100,000,000 or (z) in the opinion of the Administrator (with the consent or at the direction of any of the Purchasers) reasonable grounds for insecurity exist with respect to the collectibility of a material portion of the Pool Receivables or with respect to the Servicer’s performance or ability to perform in any material respect its obligations under this Agreement, as reasonably requested in advance (unless a Termination Event or Unmatured Termination Event exists) by the Administrator, permit the Administrator, or its agents or representatives, at the Servicer’s expense: (i) to examine and make copies of and abstracts from all books, records and documents (including computer tapes and disks) in its possession or under its control relating to Receivables and the Related Security, including the related Contracts; and (ii) to visit its offices and properties for the purpose of examining such materials described in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above, and to discuss matters relating to Receivables and the Related Security or its performance hereunder or under the Contracts with any of its officers, employees, agents or contractors having knowledge of such matters.</w:t>
      </w:r>
    </w:p>
    <w:p>
      <w:pPr>
        <w:spacing w:after="0" w:line="71" w:lineRule="exact"/>
        <w:rPr>
          <w:rFonts w:ascii="Times New Roman" w:cs="Times New Roman" w:eastAsia="Times New Roman" w:hAnsi="Times New Roman"/>
          <w:sz w:val="17"/>
          <w:szCs w:val="17"/>
          <w:color w:val="auto"/>
        </w:rPr>
      </w:pPr>
    </w:p>
    <w:p>
      <w:pPr>
        <w:ind w:left="4" w:right="200" w:firstLine="436"/>
        <w:spacing w:after="0" w:line="256" w:lineRule="auto"/>
        <w:tabs>
          <w:tab w:leader="none" w:pos="849"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Lock-Box Banks, Lock-Box Accounts and Payment Instructions to Obligors</w:t>
      </w:r>
      <w:r>
        <w:rPr>
          <w:rFonts w:ascii="Times New Roman" w:cs="Times New Roman" w:eastAsia="Times New Roman" w:hAnsi="Times New Roman"/>
          <w:sz w:val="18"/>
          <w:szCs w:val="18"/>
          <w:color w:val="auto"/>
        </w:rPr>
        <w:t>. The Servicer and, to the extent that it ceases to be the Servicer, WESCO, shall not (and shall not permit any Originator to) add or terminate any bank as a Lock-Box Bank or any account as a Lock-Box Account from those listed in the Lock-Box Schedule Letter Agreement, or make any change in its instructions to Obligors regarding payments to be made to the Servicer or any Lock-Box Account (or related post office box), unless the Administrator shall have consented thereto in writing and the Administrator shall have received copies of all agreements and documents (including Lock-Box Agreements) that it may request in connection therewith.</w:t>
      </w:r>
    </w:p>
    <w:p>
      <w:pPr>
        <w:spacing w:after="0" w:line="79" w:lineRule="exact"/>
        <w:rPr>
          <w:sz w:val="20"/>
          <w:szCs w:val="20"/>
          <w:color w:val="auto"/>
        </w:rPr>
      </w:pPr>
    </w:p>
    <w:p>
      <w:pPr>
        <w:ind w:left="4" w:firstLine="436"/>
        <w:spacing w:after="0" w:line="267" w:lineRule="auto"/>
        <w:tabs>
          <w:tab w:leader="none" w:pos="929" w:val="left"/>
        </w:tabs>
        <w:numPr>
          <w:ilvl w:val="1"/>
          <w:numId w:val="2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Deposits to Lock-Box Accounts</w:t>
      </w:r>
      <w:r>
        <w:rPr>
          <w:rFonts w:ascii="Times New Roman" w:cs="Times New Roman" w:eastAsia="Times New Roman" w:hAnsi="Times New Roman"/>
          <w:sz w:val="17"/>
          <w:szCs w:val="17"/>
          <w:color w:val="auto"/>
        </w:rPr>
        <w:t xml:space="preserve">. The Servicer shall: (i) instruct all Obligors to make payments of all Receivables to one or more Lock-Box Accounts or to post office boxes to which only Lock-Box Banks have access (and shall instruct the Lock-Box Banks to cause all items and amounts relating to such Receivables received in such post office boxes to be removed and deposited into a Lock-Box Account on a daily basis); (ii) deposit, or cause to be deposited, any Collections received by it into Lock-Box Accounts not later than one Business Day after receipt thereof and (iii) if a Termination Event has occurred and is continuing, directly transfer all Collections received in each Exception Account to a Lock-Box Account (other than an Exception Account) no later than one (1) Business Day following receipt thereof. Except as otherwise agreed to in writing by the Administrator and the Majority Purchasers, each Lock-Box Account shall at all times be subject to a Lock-Box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so long as the Exception Account Conditions are then satisfied with respect to an Exception Account, such Exception Account need not be subject to a Lock-Box Agreement. The Servicer will not deposit or otherwise credit, or cause or permit to be so deposited or credited, to any Lock-Box Account cash or cash proceeds other than Collections;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Servicer may permit (i) collections relating to Excluded Receivables and (ii) such other collections not relating to Receivables as the Administrator may approve in writing, in each case, to be so deposited or credited to any Lock-Box Account so long as</w:t>
      </w:r>
    </w:p>
    <w:p>
      <w:pPr>
        <w:spacing w:after="0" w:line="2" w:lineRule="exact"/>
        <w:rPr>
          <w:rFonts w:ascii="Times New Roman" w:cs="Times New Roman" w:eastAsia="Times New Roman" w:hAnsi="Times New Roman"/>
          <w:sz w:val="17"/>
          <w:szCs w:val="17"/>
          <w:color w:val="auto"/>
        </w:rPr>
      </w:pPr>
    </w:p>
    <w:p>
      <w:pPr>
        <w:ind w:left="4" w:right="200" w:hanging="4"/>
        <w:spacing w:after="0" w:line="260" w:lineRule="auto"/>
        <w:tabs>
          <w:tab w:leader="none" w:pos="259"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such collections does not exceed $15,000,000 for any calendar month and (y) the Administrator has not requested in writing that the Servicer direct obligors relating to such Excluded Receivables to cease making payments to Lock-Box Accounts.</w:t>
      </w:r>
    </w:p>
    <w:p>
      <w:pPr>
        <w:sectPr>
          <w:pgSz w:w="11900" w:h="16838" w:orient="portrait"/>
          <w:cols w:equalWidth="0" w:num="1">
            <w:col w:w="11004"/>
          </w:cols>
          <w:pgMar w:left="436" w:top="270" w:right="459" w:bottom="1440" w:gutter="0" w:footer="0" w:header="0"/>
        </w:sectPr>
      </w:pPr>
    </w:p>
    <w:bookmarkStart w:id="260" w:name="page261"/>
    <w:bookmarkEnd w:id="260"/>
    <w:p>
      <w:pPr>
        <w:ind w:left="-436" w:right="460" w:firstLine="436"/>
        <w:spacing w:after="0" w:line="282" w:lineRule="auto"/>
        <w:tabs>
          <w:tab w:leader="none" w:pos="529"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Reporting Requirements</w:t>
      </w:r>
      <w:r>
        <w:rPr>
          <w:rFonts w:ascii="Times New Roman" w:cs="Times New Roman" w:eastAsia="Times New Roman" w:hAnsi="Times New Roman"/>
          <w:sz w:val="18"/>
          <w:szCs w:val="18"/>
          <w:color w:val="auto"/>
        </w:rPr>
        <w:t>. WESCO shall provide to the Administrator (in multiple copies, if requested by the Administrator) and each Purchaser Agent the following:</w:t>
      </w:r>
    </w:p>
    <w:p>
      <w:pPr>
        <w:spacing w:after="0" w:line="53" w:lineRule="exact"/>
        <w:rPr>
          <w:rFonts w:ascii="Times New Roman" w:cs="Times New Roman" w:eastAsia="Times New Roman" w:hAnsi="Times New Roman"/>
          <w:sz w:val="18"/>
          <w:szCs w:val="18"/>
          <w:color w:val="auto"/>
        </w:rPr>
      </w:pPr>
    </w:p>
    <w:p>
      <w:pPr>
        <w:ind w:left="4" w:right="60" w:firstLine="419"/>
        <w:spacing w:after="0" w:line="261" w:lineRule="auto"/>
        <w:tabs>
          <w:tab w:leader="none" w:pos="641"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45 days after the end of the first three quarters of each fiscal year of Holdings, balance sheets of Holdings and its consolidated Subsidiaries as of the end of such quarter and statements of income, retained earnings and cash flow of Holdings and its consolidated Subsidiaries for the period commencing at the end of the previous fiscal year and ending with the end of such quarter, certified by the chief financial officer of such Person;</w:t>
      </w:r>
    </w:p>
    <w:p>
      <w:pPr>
        <w:spacing w:after="0" w:line="71" w:lineRule="exact"/>
        <w:rPr>
          <w:rFonts w:ascii="Times New Roman" w:cs="Times New Roman" w:eastAsia="Times New Roman" w:hAnsi="Times New Roman"/>
          <w:sz w:val="18"/>
          <w:szCs w:val="18"/>
          <w:color w:val="auto"/>
        </w:rPr>
      </w:pPr>
    </w:p>
    <w:p>
      <w:pPr>
        <w:jc w:val="both"/>
        <w:ind w:left="4" w:right="120" w:firstLine="419"/>
        <w:spacing w:after="0" w:line="312" w:lineRule="auto"/>
        <w:tabs>
          <w:tab w:leader="none" w:pos="691" w:val="left"/>
        </w:tabs>
        <w:numPr>
          <w:ilvl w:val="1"/>
          <w:numId w:val="3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90 days after the end of each fiscal year of Holdings, a copy of the annual report for such year for Holdings and its consolidated Subsidiaries, containing financial statements for such year audited by independent certified public accountants of nationally recognized standing;</w:t>
      </w:r>
    </w:p>
    <w:p>
      <w:pPr>
        <w:spacing w:after="0" w:line="31" w:lineRule="exact"/>
        <w:rPr>
          <w:rFonts w:ascii="Times New Roman" w:cs="Times New Roman" w:eastAsia="Times New Roman" w:hAnsi="Times New Roman"/>
          <w:sz w:val="17"/>
          <w:szCs w:val="17"/>
          <w:color w:val="auto"/>
        </w:rPr>
      </w:pPr>
    </w:p>
    <w:p>
      <w:pPr>
        <w:ind w:left="4" w:right="20" w:firstLine="419"/>
        <w:spacing w:after="0" w:line="253" w:lineRule="auto"/>
        <w:tabs>
          <w:tab w:leader="none" w:pos="741"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to the Servicer only, not later than 2 days prior to the Settlement Date in such month, an Information Package for such period, including a calculation (with reasonable detail with respect to such calculation) of Available Liquidity as of the last day of the preceding calendar month;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 if the Purchased Interest as reported in the most recently delivered Information Package or Daily Report exceeds 75%, within two (2) Business Days of the Administrator’s request thereof, the Servicer shall provide (x) a Daily Report calculated as of the Business Day immediately preceding delivery thereof and (y) such other information as shall be reasonably requested by the Administrator in its sole discretion regarding Collections and originations of Receivables and (B) if (x) WESCO or Holdings shall cease to have a rating of at least “B-” by Standard &amp; Poor’s on its respective corporate credit rating or (y) Holdings’ Available Liquidity fails to exceed $100,000,000, the Servicer shall provide (i) if requested by the Administrator or any Purchaser Agent, in each case in such Person’s sole discretion, an Information Package on the first Business Day of each calendar week and (ii) such information as shall be requested by the Administrator in its sole discretion regarding Collections to the Administrator on a daily basis;</w:t>
      </w:r>
    </w:p>
    <w:p>
      <w:pPr>
        <w:spacing w:after="0" w:line="86" w:lineRule="exact"/>
        <w:rPr>
          <w:rFonts w:ascii="Times New Roman" w:cs="Times New Roman" w:eastAsia="Times New Roman" w:hAnsi="Times New Roman"/>
          <w:sz w:val="18"/>
          <w:szCs w:val="18"/>
          <w:color w:val="auto"/>
        </w:rPr>
      </w:pPr>
    </w:p>
    <w:p>
      <w:pPr>
        <w:jc w:val="both"/>
        <w:ind w:left="4" w:right="20" w:firstLine="419"/>
        <w:spacing w:after="0" w:line="266" w:lineRule="auto"/>
        <w:tabs>
          <w:tab w:leader="none" w:pos="731"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days after becoming aware of the occurrence of each Termination Event or Unmatured Termination Event, a statement of the chief financial officer of WESCO setting forth details of such Termination Event or Unmatured Termination Event and the action that such Person has taken and proposes to take with respect thereto;</w:t>
      </w:r>
    </w:p>
    <w:p>
      <w:pPr>
        <w:spacing w:after="0" w:line="67" w:lineRule="exact"/>
        <w:rPr>
          <w:rFonts w:ascii="Times New Roman" w:cs="Times New Roman" w:eastAsia="Times New Roman" w:hAnsi="Times New Roman"/>
          <w:sz w:val="18"/>
          <w:szCs w:val="18"/>
          <w:color w:val="auto"/>
        </w:rPr>
      </w:pPr>
    </w:p>
    <w:p>
      <w:pPr>
        <w:ind w:left="4" w:firstLine="419"/>
        <w:spacing w:after="0" w:line="261" w:lineRule="auto"/>
        <w:tabs>
          <w:tab w:leader="none" w:pos="681"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the sending or filing thereof, copies of all reports that WESCO or Holdings sends to any of their respective security holders, and copies of all reports and registration statements that WESCO, Holdings or any of their respective Subsidiaries files with the Securities and Exchange Commission or any national securities exchange;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filings with the Securities and Exchange Commission that have been granted “confidential” treatment shall be provided promptly after such filings have become publicly available;</w:t>
      </w:r>
    </w:p>
    <w:p>
      <w:pPr>
        <w:sectPr>
          <w:pgSz w:w="11900" w:h="16838" w:orient="portrait"/>
          <w:cols w:equalWidth="0" w:num="1">
            <w:col w:w="10564"/>
          </w:cols>
          <w:pgMar w:left="876" w:top="270" w:right="459" w:bottom="1440" w:gutter="0" w:footer="0" w:header="0"/>
        </w:sectPr>
      </w:pPr>
    </w:p>
    <w:bookmarkStart w:id="261" w:name="page262"/>
    <w:bookmarkEnd w:id="261"/>
    <w:p>
      <w:pPr>
        <w:ind w:left="-419" w:firstLine="419"/>
        <w:spacing w:after="0" w:line="256" w:lineRule="auto"/>
        <w:tabs>
          <w:tab w:leader="none" w:pos="308"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promptly after the filing or receiving thereof, copies of all material reports and notices that WESCO, Holdings or any of their respective Affiliates files under ERISA with the Internal Revenue Service, the Pension Benefit Guaranty Corporation or the U.S. Department of Labor or that such Person or any of its Affiliates receives from any of the foregoing or from any multiemployer plan (within the meaning of Section 4001(a)(3) of ERISA) to which such Person or any of its Affiliate is or was, within the preceding five years, a contributing employer, in each case in respect of the assessment of withdrawal liability or an event or condition that could, in the aggregate, result in the imposition of liability on WESCO, Holdings and/or any such Affiliate;</w:t>
      </w:r>
    </w:p>
    <w:p>
      <w:pPr>
        <w:spacing w:after="0" w:line="79" w:lineRule="exact"/>
        <w:rPr>
          <w:rFonts w:ascii="Times New Roman" w:cs="Times New Roman" w:eastAsia="Times New Roman" w:hAnsi="Times New Roman"/>
          <w:sz w:val="18"/>
          <w:szCs w:val="18"/>
          <w:color w:val="auto"/>
        </w:rPr>
      </w:pPr>
    </w:p>
    <w:p>
      <w:pPr>
        <w:ind w:left="-419" w:right="200" w:firstLine="419"/>
        <w:spacing w:after="0" w:line="266" w:lineRule="auto"/>
        <w:tabs>
          <w:tab w:leader="none" w:pos="358"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thirty days (or such shorter period as agreed to in writing by the Administrator) before any change in WESCO’s, Holdings’ or any Originator’s name or any other change requiring the amendment of UCC financing statements, a notice setting forth such changes and the effective date thereof;</w:t>
      </w:r>
    </w:p>
    <w:p>
      <w:pPr>
        <w:spacing w:after="0" w:line="67" w:lineRule="exact"/>
        <w:rPr>
          <w:rFonts w:ascii="Times New Roman" w:cs="Times New Roman" w:eastAsia="Times New Roman" w:hAnsi="Times New Roman"/>
          <w:sz w:val="18"/>
          <w:szCs w:val="18"/>
          <w:color w:val="auto"/>
        </w:rPr>
      </w:pPr>
    </w:p>
    <w:p>
      <w:pPr>
        <w:ind w:left="-419" w:firstLine="419"/>
        <w:spacing w:after="0" w:line="277" w:lineRule="auto"/>
        <w:tabs>
          <w:tab w:leader="none" w:pos="408" w:val="left"/>
        </w:tabs>
        <w:numPr>
          <w:ilvl w:val="0"/>
          <w:numId w:val="3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after WESCO or Holdings obtains knowledge thereof, notice of any: (A) litigation, investigation or proceeding that may exist at any time between WESCO, Holdings or any of their respective Subsidiaries and any Governmental Authority that, if not cured or if adversely determined, as the case may be, would have a Material Adverse Effect; (B) litigation or proceeding adversely affecting such Person or any of its Subsidiaries in which (x) the amount involved is $</w:t>
      </w:r>
      <w:r>
        <w:rPr>
          <w:rFonts w:ascii="Times New Roman" w:cs="Times New Roman" w:eastAsia="Times New Roman" w:hAnsi="Times New Roman"/>
          <w:sz w:val="17"/>
          <w:szCs w:val="17"/>
          <w:color w:val="FF0000"/>
          <w:strike w:val="1"/>
        </w:rPr>
        <w:t>50,000,000</w:t>
      </w:r>
      <w:r>
        <w:rPr>
          <w:rFonts w:ascii="Times New Roman" w:cs="Times New Roman" w:eastAsia="Times New Roman" w:hAnsi="Times New Roman"/>
          <w:sz w:val="17"/>
          <w:szCs w:val="17"/>
          <w:u w:val="single" w:color="auto"/>
          <w:color w:val="0000FF"/>
        </w:rPr>
        <w:t>75,000,000</w:t>
      </w:r>
      <w:r>
        <w:rPr>
          <w:rFonts w:ascii="Times New Roman" w:cs="Times New Roman" w:eastAsia="Times New Roman" w:hAnsi="Times New Roman"/>
          <w:sz w:val="17"/>
          <w:szCs w:val="17"/>
          <w:color w:val="auto"/>
        </w:rPr>
        <w:t xml:space="preserve"> or more and not covered by insurance or (y) injunctive or similar relief is sought which could reasonably be expect to have a Material Adverse Effect; or (C) litigation or proceeding relating to any Transaction Document;</w:t>
      </w:r>
    </w:p>
    <w:p>
      <w:pPr>
        <w:spacing w:after="0" w:line="59" w:lineRule="exact"/>
        <w:rPr>
          <w:rFonts w:ascii="Times New Roman" w:cs="Times New Roman" w:eastAsia="Times New Roman" w:hAnsi="Times New Roman"/>
          <w:sz w:val="17"/>
          <w:szCs w:val="17"/>
          <w:color w:val="auto"/>
        </w:rPr>
      </w:pPr>
    </w:p>
    <w:p>
      <w:pPr>
        <w:ind w:left="-419" w:right="400" w:firstLine="419"/>
        <w:spacing w:after="0" w:line="282" w:lineRule="auto"/>
        <w:tabs>
          <w:tab w:leader="none" w:pos="308"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occurrence thereof, notice of a material adverse change in the business, operations, property or financial or other condition of WESCO, Holdings or any of their respective Subsidiaries;</w:t>
      </w:r>
    </w:p>
    <w:p>
      <w:pPr>
        <w:spacing w:after="0" w:line="53" w:lineRule="exact"/>
        <w:rPr>
          <w:rFonts w:ascii="Times New Roman" w:cs="Times New Roman" w:eastAsia="Times New Roman" w:hAnsi="Times New Roman"/>
          <w:sz w:val="18"/>
          <w:szCs w:val="18"/>
          <w:color w:val="auto"/>
        </w:rPr>
      </w:pPr>
    </w:p>
    <w:p>
      <w:pPr>
        <w:ind w:left="261" w:hanging="261"/>
        <w:spacing w:after="0"/>
        <w:tabs>
          <w:tab w:leader="none" w:pos="261"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occurrence thereof, notice of any downgrade of WESCO or Holdings;</w:t>
      </w:r>
    </w:p>
    <w:p>
      <w:pPr>
        <w:spacing w:after="0" w:line="117" w:lineRule="exact"/>
        <w:rPr>
          <w:rFonts w:ascii="Times New Roman" w:cs="Times New Roman" w:eastAsia="Times New Roman" w:hAnsi="Times New Roman"/>
          <w:sz w:val="18"/>
          <w:szCs w:val="18"/>
          <w:color w:val="auto"/>
        </w:rPr>
      </w:pPr>
    </w:p>
    <w:p>
      <w:pPr>
        <w:ind w:left="-419" w:right="40" w:firstLine="419"/>
        <w:spacing w:after="0" w:line="282" w:lineRule="auto"/>
        <w:tabs>
          <w:tab w:leader="none" w:pos="308"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information respecting the Receivables or the condition or operations, financial or otherwise, of WESCO, Holdings or any of their respective Affiliates as the Administrator or any Purchaser Agent may from time to time reasonably request;</w:t>
      </w:r>
    </w:p>
    <w:p>
      <w:pPr>
        <w:spacing w:after="0" w:line="53" w:lineRule="exact"/>
        <w:rPr>
          <w:rFonts w:ascii="Times New Roman" w:cs="Times New Roman" w:eastAsia="Times New Roman" w:hAnsi="Times New Roman"/>
          <w:sz w:val="18"/>
          <w:szCs w:val="18"/>
          <w:color w:val="auto"/>
        </w:rPr>
      </w:pPr>
    </w:p>
    <w:p>
      <w:pPr>
        <w:ind w:left="-419" w:right="320" w:firstLine="419"/>
        <w:spacing w:after="0" w:line="282" w:lineRule="auto"/>
        <w:tabs>
          <w:tab w:leader="none" w:pos="358"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occurrence thereof, notice of any material acquisition or investment by WESCO or Holdings of or in any Person, business or 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2546350</wp:posOffset>
            </wp:positionH>
            <wp:positionV relativeFrom="paragraph">
              <wp:posOffset>-1385570</wp:posOffset>
            </wp:positionV>
            <wp:extent cx="51435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ectPr>
          <w:pgSz w:w="11900" w:h="16838" w:orient="portrait"/>
          <w:cols w:equalWidth="0" w:num="1">
            <w:col w:w="10141"/>
          </w:cols>
          <w:pgMar w:left="1299" w:top="270" w:right="459" w:bottom="1440" w:gutter="0" w:footer="0" w:header="0"/>
        </w:sectPr>
      </w:pPr>
    </w:p>
    <w:bookmarkStart w:id="262" w:name="page263"/>
    <w:bookmarkEnd w:id="262"/>
    <w:p>
      <w:pPr>
        <w:ind w:firstLine="419"/>
        <w:spacing w:after="0" w:line="252" w:lineRule="auto"/>
        <w:tabs>
          <w:tab w:leader="none" w:pos="828"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on or before 30 days prior to each anniversary of the Closing Date, the Servicer shall, at its own expense, cause an independent auditor acceptable to the Administrator and each Purchaser Agent to furnish to WESCO, the Administrator and each Purchaser Agent, (A) a report in a format acceptable to each Purchaser Agent, to the effect that they have (1) reviewed and audited WESCO’s and Holdings’ books, records and servicing procedures, (2) performed testing of a statistically significant sample of Receivables and each Information Package and Daily Report generated during such fiscal year then ended, and describing the results of such review and testing, and (3) during such review and testing, not discovered any deviations (other than those described in the report) from the Credit and Collection Policy, and (B) a report in a format acceptable to each Purchaser Agent to the effect that they have applied certain procedures agreed upon with the Servicer, the Administrator and each Purchaser Agent and examined certain documents and records relating to the servicing of Receivables under this Agreement, and that, based upon such agreed upon procedures, nothing has come to the attention of such auditors that caused them to believe such servicing (including without limitation, the allocation of Collections) has not been conducted in compliance with the terms and conditions set forth herein, except for such exceptions as they believe to be immaterial and such other exceptions as shall be set forth in such statement. In addition, each report shall set forth the agreed upon procedures performed (it being understood and agreed that in any year, a field audit performed by the Administrator or its agents or representatives pursuant to </w:t>
      </w:r>
      <w:r>
        <w:rPr>
          <w:rFonts w:ascii="Times New Roman" w:cs="Times New Roman" w:eastAsia="Times New Roman" w:hAnsi="Times New Roman"/>
          <w:sz w:val="18"/>
          <w:szCs w:val="18"/>
          <w:u w:val="single" w:color="auto"/>
          <w:color w:val="auto"/>
        </w:rPr>
        <w:t>Section 2(f)</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Exhibit IV</w:t>
      </w:r>
      <w:r>
        <w:rPr>
          <w:rFonts w:ascii="Times New Roman" w:cs="Times New Roman" w:eastAsia="Times New Roman" w:hAnsi="Times New Roman"/>
          <w:sz w:val="18"/>
          <w:szCs w:val="18"/>
          <w:color w:val="auto"/>
        </w:rPr>
        <w:t xml:space="preserve"> may, with the prior consent of the Administrator and the Majority Purchasers, satisfy the requirements of this </w:t>
      </w:r>
      <w:r>
        <w:rPr>
          <w:rFonts w:ascii="Times New Roman" w:cs="Times New Roman" w:eastAsia="Times New Roman" w:hAnsi="Times New Roman"/>
          <w:sz w:val="18"/>
          <w:szCs w:val="18"/>
          <w:u w:val="single" w:color="auto"/>
          <w:color w:val="auto"/>
        </w:rPr>
        <w:t>clause (xiii)</w:t>
      </w:r>
      <w:r>
        <w:rPr>
          <w:rFonts w:ascii="Times New Roman" w:cs="Times New Roman" w:eastAsia="Times New Roman" w:hAnsi="Times New Roman"/>
          <w:sz w:val="18"/>
          <w:szCs w:val="18"/>
          <w:color w:val="auto"/>
        </w:rPr>
        <w:t>);</w:t>
      </w:r>
    </w:p>
    <w:p>
      <w:pPr>
        <w:spacing w:after="0" w:line="89" w:lineRule="exact"/>
        <w:rPr>
          <w:rFonts w:ascii="Times New Roman" w:cs="Times New Roman" w:eastAsia="Times New Roman" w:hAnsi="Times New Roman"/>
          <w:sz w:val="18"/>
          <w:szCs w:val="18"/>
          <w:color w:val="auto"/>
        </w:rPr>
      </w:pPr>
    </w:p>
    <w:p>
      <w:pPr>
        <w:ind w:right="320" w:firstLine="419"/>
        <w:spacing w:after="0" w:line="312" w:lineRule="auto"/>
        <w:tabs>
          <w:tab w:leader="none" w:pos="818" w:val="left"/>
        </w:tabs>
        <w:numPr>
          <w:ilvl w:val="0"/>
          <w:numId w:val="3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later than 30 days after the end of each month (other than months which are the last month of a calendar quarter) and within 45 days of the end of each calendar quarter, management prepared unaudited financial statements of Holdings and its consolidated Subsidiaries;</w:t>
      </w:r>
    </w:p>
    <w:p>
      <w:pPr>
        <w:spacing w:after="0" w:line="31" w:lineRule="exact"/>
        <w:rPr>
          <w:rFonts w:ascii="Times New Roman" w:cs="Times New Roman" w:eastAsia="Times New Roman" w:hAnsi="Times New Roman"/>
          <w:sz w:val="17"/>
          <w:szCs w:val="17"/>
          <w:color w:val="auto"/>
        </w:rPr>
      </w:pPr>
    </w:p>
    <w:p>
      <w:pPr>
        <w:ind w:right="20" w:firstLine="419"/>
        <w:spacing w:after="0" w:line="261" w:lineRule="auto"/>
        <w:tabs>
          <w:tab w:leader="none" w:pos="768"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information available to WESCO or any of its Affiliates reasonably requested by the Administrator or any Purchaser in order to assist any Purchaser in complying with any of its obligations under Article 5 of the EU Securitisation Regulation or Article 5 of the UK Securitisation Regulation, as applicable, and any other due diligence provision of the EU Securitisation Regulation Rules or the UK Securitisation Regulation Rules, as applicable, in relation to the Transaction Documents and the transactions contemplated thereby; and</w:t>
      </w:r>
    </w:p>
    <w:p>
      <w:pPr>
        <w:spacing w:after="0" w:line="71" w:lineRule="exact"/>
        <w:rPr>
          <w:rFonts w:ascii="Times New Roman" w:cs="Times New Roman" w:eastAsia="Times New Roman" w:hAnsi="Times New Roman"/>
          <w:sz w:val="18"/>
          <w:szCs w:val="18"/>
          <w:color w:val="auto"/>
        </w:rPr>
      </w:pPr>
    </w:p>
    <w:p>
      <w:pPr>
        <w:jc w:val="both"/>
        <w:ind w:right="80" w:firstLine="419"/>
        <w:spacing w:after="0" w:line="261" w:lineRule="auto"/>
        <w:tabs>
          <w:tab w:leader="none" w:pos="818"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to the extent such data is reasonably available to WESCO or any of its Affiliates without additional burden or out-of-pocket expense, information regarding the Receivables as any Purchaser may reasonably request in connection with the analysis by such Purchaser of capital treatment under the accord known as Basel II, Basel III or other regulatory capital guidelines as relates to the transactions contemplated in the Transaction Documents.</w:t>
      </w:r>
    </w:p>
    <w:p>
      <w:pPr>
        <w:spacing w:after="0" w:line="18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 xml:space="preserve">Information required to be delivered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this Section shall be deemed to have been delivered if such information, or one or more annual or quarterly reports or current reports containing such information, shall have been posted by the Administrator on a SyndTrak, IntraLinks or similar site to which the Purchasers have been granted access or shall be available on the website of the Securities and Exchange Commission at http://www.sec.gov or on the website of Holdings. Each Purchaser shall be solely responsible for timely accessing posted documents and maintaining its copies of such documents.</w:t>
      </w:r>
    </w:p>
    <w:p>
      <w:pPr>
        <w:sectPr>
          <w:pgSz w:w="11900" w:h="16838" w:orient="portrait"/>
          <w:cols w:equalWidth="0" w:num="1">
            <w:col w:w="10540"/>
          </w:cols>
          <w:pgMar w:left="880" w:top="270" w:right="479" w:bottom="1440" w:gutter="0" w:footer="0" w:header="0"/>
        </w:sectPr>
      </w:pPr>
    </w:p>
    <w:bookmarkStart w:id="263" w:name="page264"/>
    <w:bookmarkEnd w:id="263"/>
    <w:p>
      <w:pPr>
        <w:ind w:left="484" w:hanging="484"/>
        <w:spacing w:after="0"/>
        <w:tabs>
          <w:tab w:leader="none" w:pos="484"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Sanctions and other Anti-Terrorism Laws; Anti-Corruption Laws</w:t>
      </w:r>
      <w:r>
        <w:rPr>
          <w:rFonts w:ascii="Times New Roman" w:cs="Times New Roman" w:eastAsia="Times New Roman" w:hAnsi="Times New Roman"/>
          <w:sz w:val="18"/>
          <w:szCs w:val="18"/>
          <w:color w:val="auto"/>
        </w:rPr>
        <w:t>. The Servicer covenants and agrees that:</w:t>
      </w:r>
    </w:p>
    <w:p>
      <w:pPr>
        <w:spacing w:after="0" w:line="117" w:lineRule="exact"/>
        <w:rPr>
          <w:rFonts w:ascii="Times New Roman" w:cs="Times New Roman" w:eastAsia="Times New Roman" w:hAnsi="Times New Roman"/>
          <w:sz w:val="18"/>
          <w:szCs w:val="18"/>
          <w:color w:val="auto"/>
        </w:rPr>
      </w:pPr>
    </w:p>
    <w:p>
      <w:pPr>
        <w:ind w:left="4" w:right="140" w:firstLine="419"/>
        <w:spacing w:after="0" w:line="266" w:lineRule="auto"/>
        <w:tabs>
          <w:tab w:leader="none" w:pos="641"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and shall require each other Covered Entity to, conduct its business in compliance with all Anti-Corruption Laws in all material respects and maintain policies and procedures designed, in Servicer’s reasonable business judgment, to ensure compliance with such Anti-Corruption Laws in all material respects;</w:t>
      </w:r>
    </w:p>
    <w:p>
      <w:pPr>
        <w:spacing w:after="0" w:line="67" w:lineRule="exact"/>
        <w:rPr>
          <w:rFonts w:ascii="Times New Roman" w:cs="Times New Roman" w:eastAsia="Times New Roman" w:hAnsi="Times New Roman"/>
          <w:sz w:val="18"/>
          <w:szCs w:val="18"/>
          <w:color w:val="auto"/>
        </w:rPr>
      </w:pPr>
    </w:p>
    <w:p>
      <w:pPr>
        <w:ind w:left="4" w:right="20" w:firstLine="419"/>
        <w:spacing w:after="0" w:line="254" w:lineRule="auto"/>
        <w:tabs>
          <w:tab w:leader="none" w:pos="691"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and its Subsidiaries will not: (A) become a Sanctioned Person or allow </w:t>
      </w:r>
      <w:r>
        <w:rPr>
          <w:rFonts w:ascii="Times New Roman" w:cs="Times New Roman" w:eastAsia="Times New Roman" w:hAnsi="Times New Roman"/>
          <w:sz w:val="18"/>
          <w:szCs w:val="18"/>
          <w:color w:val="FF0000"/>
          <w:strike w:val="1"/>
        </w:rPr>
        <w:t>any</w:t>
      </w:r>
      <w:r>
        <w:rPr>
          <w:rFonts w:ascii="Times New Roman" w:cs="Times New Roman" w:eastAsia="Times New Roman" w:hAnsi="Times New Roman"/>
          <w:sz w:val="18"/>
          <w:szCs w:val="18"/>
          <w:u w:val="single" w:color="auto"/>
          <w:color w:val="0000FF"/>
        </w:rPr>
        <w:t>its</w:t>
      </w:r>
      <w:r>
        <w:rPr>
          <w:rFonts w:ascii="Times New Roman" w:cs="Times New Roman" w:eastAsia="Times New Roman" w:hAnsi="Times New Roman"/>
          <w:sz w:val="18"/>
          <w:szCs w:val="18"/>
          <w:color w:val="auto"/>
        </w:rPr>
        <w:t xml:space="preserve"> employees, officers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or</w:t>
      </w:r>
      <w:r>
        <w:rPr>
          <w:rFonts w:ascii="Times New Roman" w:cs="Times New Roman" w:eastAsia="Times New Roman" w:hAnsi="Times New Roman"/>
          <w:sz w:val="18"/>
          <w:szCs w:val="18"/>
          <w:color w:val="auto"/>
        </w:rPr>
        <w:t xml:space="preserve"> directors</w:t>
      </w:r>
      <w:r>
        <w:rPr>
          <w:rFonts w:ascii="Times New Roman" w:cs="Times New Roman" w:eastAsia="Times New Roman" w:hAnsi="Times New Roman"/>
          <w:sz w:val="18"/>
          <w:szCs w:val="18"/>
          <w:color w:val="FF0000"/>
          <w:strike w:val="1"/>
        </w:rPr>
        <w:t>, affiliates, consultants,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brokers, or agents acting on its behalf in connection with this Agreement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to become a Sanctioned Person; (B) directly, or indirectly through a third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party, engage in any transactions or other dealings with or for the benefit of any Sanctioned Person or Sanctioned Jurisdiction, including any use of the proceeds of the Investments to fund any operations in, finance any investments or activities in, or, make any payments to, a Sanctioned Person or Sanctioned Jurisdiction; (C) pay or repay obligations with </w:t>
      </w:r>
      <w:r>
        <w:rPr>
          <w:rFonts w:ascii="Times New Roman" w:cs="Times New Roman" w:eastAsia="Times New Roman" w:hAnsi="Times New Roman"/>
          <w:sz w:val="18"/>
          <w:szCs w:val="18"/>
          <w:color w:val="FF0000"/>
          <w:strike w:val="1"/>
        </w:rPr>
        <w:t>Embargoed</w:t>
      </w:r>
      <w:r>
        <w:rPr>
          <w:rFonts w:ascii="Times New Roman" w:cs="Times New Roman" w:eastAsia="Times New Roman" w:hAnsi="Times New Roman"/>
          <w:sz w:val="18"/>
          <w:szCs w:val="18"/>
          <w:u w:val="single" w:color="auto"/>
          <w:color w:val="0000FF"/>
        </w:rPr>
        <w:t>Blocked</w:t>
      </w:r>
      <w:r>
        <w:rPr>
          <w:rFonts w:ascii="Times New Roman" w:cs="Times New Roman" w:eastAsia="Times New Roman" w:hAnsi="Times New Roman"/>
          <w:sz w:val="18"/>
          <w:szCs w:val="18"/>
          <w:color w:val="000000"/>
        </w:rPr>
        <w:t xml:space="preserve"> Property or funds derived from any unlawful activity;</w:t>
      </w:r>
    </w:p>
    <w:p>
      <w:pPr>
        <w:spacing w:after="0" w:line="3" w:lineRule="exact"/>
        <w:rPr>
          <w:rFonts w:ascii="Times New Roman" w:cs="Times New Roman" w:eastAsia="Times New Roman" w:hAnsi="Times New Roman"/>
          <w:sz w:val="18"/>
          <w:szCs w:val="18"/>
          <w:color w:val="auto"/>
        </w:rPr>
      </w:pPr>
    </w:p>
    <w:p>
      <w:pPr>
        <w:ind w:left="4" w:right="6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 permit any Pool Assets to become </w:t>
      </w:r>
      <w:r>
        <w:rPr>
          <w:rFonts w:ascii="Times New Roman" w:cs="Times New Roman" w:eastAsia="Times New Roman" w:hAnsi="Times New Roman"/>
          <w:sz w:val="18"/>
          <w:szCs w:val="18"/>
          <w:color w:val="FF0000"/>
          <w:strike w:val="1"/>
        </w:rPr>
        <w:t>Embargoed</w:t>
      </w:r>
      <w:r>
        <w:rPr>
          <w:rFonts w:ascii="Times New Roman" w:cs="Times New Roman" w:eastAsia="Times New Roman" w:hAnsi="Times New Roman"/>
          <w:sz w:val="18"/>
          <w:szCs w:val="18"/>
          <w:u w:val="single" w:color="auto"/>
          <w:color w:val="0000FF"/>
        </w:rPr>
        <w:t>Blocked</w:t>
      </w:r>
      <w:r>
        <w:rPr>
          <w:rFonts w:ascii="Times New Roman" w:cs="Times New Roman" w:eastAsia="Times New Roman" w:hAnsi="Times New Roman"/>
          <w:sz w:val="18"/>
          <w:szCs w:val="18"/>
          <w:color w:val="auto"/>
        </w:rPr>
        <w:t xml:space="preserve"> Property; or (E) cause any Purchaser or the Administrator to violate any Anti-Terrorism Law in any material respects; and</w:t>
      </w:r>
    </w:p>
    <w:p>
      <w:pPr>
        <w:spacing w:after="0" w:line="73" w:lineRule="exact"/>
        <w:rPr>
          <w:rFonts w:ascii="Times New Roman" w:cs="Times New Roman" w:eastAsia="Times New Roman" w:hAnsi="Times New Roman"/>
          <w:sz w:val="18"/>
          <w:szCs w:val="18"/>
          <w:color w:val="auto"/>
        </w:rPr>
      </w:pPr>
    </w:p>
    <w:p>
      <w:pPr>
        <w:jc w:val="both"/>
        <w:ind w:left="4" w:firstLine="419"/>
        <w:spacing w:after="0" w:line="261" w:lineRule="auto"/>
        <w:tabs>
          <w:tab w:leader="none" w:pos="741"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will not, and will not permit any its Subsidiaries to, directly or indirectly, use the Investments or any proceeds thereof </w:t>
      </w:r>
      <w:r>
        <w:rPr>
          <w:rFonts w:ascii="Times New Roman" w:cs="Times New Roman" w:eastAsia="Times New Roman" w:hAnsi="Times New Roman"/>
          <w:sz w:val="18"/>
          <w:szCs w:val="18"/>
          <w:color w:val="FF0000"/>
          <w:strike w:val="1"/>
        </w:rPr>
        <w:t>for any purpose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which would breach any Anti-Corruption Laws in any jurisdiction in which any Covered Entity conducts business.</w:t>
      </w:r>
      <w:r>
        <w:rPr>
          <w:rFonts w:ascii="Times New Roman" w:cs="Times New Roman" w:eastAsia="Times New Roman" w:hAnsi="Times New Roman"/>
          <w:sz w:val="18"/>
          <w:szCs w:val="18"/>
          <w:u w:val="single" w:color="auto"/>
          <w:color w:val="0000FF"/>
          <w:strike w:val="1"/>
        </w:rPr>
        <w:t>in any manner that would result</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in a violation by any Person of Anti-Corruption Law (including any Purchaser Party) or in violation in any material respect of any applicable Law, including, without limitation, any applicable Anti-Corruption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3955415</wp:posOffset>
            </wp:positionH>
            <wp:positionV relativeFrom="paragraph">
              <wp:posOffset>-1442720</wp:posOffset>
            </wp:positionV>
            <wp:extent cx="11112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5009515</wp:posOffset>
            </wp:positionH>
            <wp:positionV relativeFrom="paragraph">
              <wp:posOffset>-1442720</wp:posOffset>
            </wp:positionV>
            <wp:extent cx="12890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5012690</wp:posOffset>
            </wp:positionH>
            <wp:positionV relativeFrom="paragraph">
              <wp:posOffset>-1477010</wp:posOffset>
            </wp:positionV>
            <wp:extent cx="12382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3825" cy="8890"/>
                    </a:xfrm>
                    <a:prstGeom prst="rect">
                      <a:avLst/>
                    </a:prstGeom>
                    <a:noFill/>
                  </pic:spPr>
                </pic:pic>
              </a:graphicData>
            </a:graphic>
          </wp:anchor>
        </w:drawing>
        <w:drawing>
          <wp:anchor simplePos="0" relativeHeight="251657728" behindDoc="1" locked="0" layoutInCell="0" allowOverlap="1">
            <wp:simplePos x="0" y="0"/>
            <wp:positionH relativeFrom="column">
              <wp:posOffset>3663950</wp:posOffset>
            </wp:positionH>
            <wp:positionV relativeFrom="paragraph">
              <wp:posOffset>-894080</wp:posOffset>
            </wp:positionV>
            <wp:extent cx="4114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411480" cy="8255"/>
                    </a:xfrm>
                    <a:prstGeom prst="rect">
                      <a:avLst/>
                    </a:prstGeom>
                    <a:noFill/>
                  </pic:spPr>
                </pic:pic>
              </a:graphicData>
            </a:graphic>
          </wp:anchor>
        </w:drawing>
        <w:drawing>
          <wp:anchor simplePos="0" relativeHeight="251657728" behindDoc="1" locked="0" layoutInCell="0" allowOverlap="1">
            <wp:simplePos x="0" y="0"/>
            <wp:positionH relativeFrom="column">
              <wp:posOffset>2300605</wp:posOffset>
            </wp:positionH>
            <wp:positionV relativeFrom="paragraph">
              <wp:posOffset>-756920</wp:posOffset>
            </wp:positionV>
            <wp:extent cx="40322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403225" cy="8255"/>
                    </a:xfrm>
                    <a:prstGeom prst="rect">
                      <a:avLst/>
                    </a:prstGeom>
                    <a:noFill/>
                  </pic:spPr>
                </pic:pic>
              </a:graphicData>
            </a:graphic>
          </wp:anchor>
        </w:drawing>
        <w:drawing>
          <wp:anchor simplePos="0" relativeHeight="251657728" behindDoc="1" locked="0" layoutInCell="0" allowOverlap="1">
            <wp:simplePos x="0" y="0"/>
            <wp:positionH relativeFrom="column">
              <wp:posOffset>5249545</wp:posOffset>
            </wp:positionH>
            <wp:positionV relativeFrom="paragraph">
              <wp:posOffset>-276860</wp:posOffset>
            </wp:positionV>
            <wp:extent cx="144843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44843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-139700</wp:posOffset>
            </wp:positionV>
            <wp:extent cx="668655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6865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-2540</wp:posOffset>
            </wp:positionV>
            <wp:extent cx="305181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52" w:lineRule="exact"/>
        <w:rPr>
          <w:sz w:val="20"/>
          <w:szCs w:val="20"/>
          <w:color w:val="auto"/>
        </w:rPr>
      </w:pPr>
    </w:p>
    <w:p>
      <w:pPr>
        <w:ind w:left="-436" w:right="60" w:firstLine="436"/>
        <w:spacing w:after="0" w:line="258" w:lineRule="auto"/>
        <w:tabs>
          <w:tab w:leader="none" w:pos="259"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Assistance</w:t>
      </w:r>
      <w:r>
        <w:rPr>
          <w:rFonts w:ascii="Times New Roman" w:cs="Times New Roman" w:eastAsia="Times New Roman" w:hAnsi="Times New Roman"/>
          <w:sz w:val="18"/>
          <w:szCs w:val="18"/>
          <w:color w:val="auto"/>
        </w:rPr>
        <w:t>. The Servicer shall use commercially reasonable efforts to take such further action, provide such information and enter into such other agreements not otherwise provided for hereunder as may be reasonably required by the Administrator or any Purchaser in order for any Purchaser to comply with any and all applicable requirements of Article 5 of the EU Securitisation Regulation or Article 5 of the UK Securitisation Regulation and any other due diligence provision of the EU Securitisation Regulation Rules or the UK Securitisation Regulation Rules in relation to the Transaction Documents and the transactions contemplated thereby.</w:t>
      </w:r>
    </w:p>
    <w:p>
      <w:pPr>
        <w:spacing w:after="0" w:line="75" w:lineRule="exact"/>
        <w:rPr>
          <w:sz w:val="20"/>
          <w:szCs w:val="20"/>
          <w:color w:val="auto"/>
        </w:rPr>
      </w:pPr>
    </w:p>
    <w:p>
      <w:pPr>
        <w:ind w:left="-436" w:firstLine="436"/>
        <w:spacing w:after="0" w:line="258" w:lineRule="auto"/>
        <w:tabs>
          <w:tab w:leader="none" w:pos="184"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Separate Existence</w:t>
      </w:r>
      <w:r>
        <w:rPr>
          <w:rFonts w:ascii="Times New Roman" w:cs="Times New Roman" w:eastAsia="Times New Roman" w:hAnsi="Times New Roman"/>
          <w:sz w:val="18"/>
          <w:szCs w:val="18"/>
          <w:color w:val="auto"/>
        </w:rPr>
        <w:t>. Each of the Seller and WESCO hereby acknowledges that the Purchasers, the Purchaser Agents, the Administrator and the Liquidity Providers are entering into the transactions contemplated by this Agreement and the other Transaction Documents in reliance upon the Seller’s identity as a legal entity separate from WESCO and its Affiliates. Therefore, from and after the date hereof, each of the Seller and WESCO shall take all steps specifically required by this Agreement or reasonably required by the Administrator to continue the Seller’s identity as a separate legal entity and to make it apparent to third Persons that the Seller is an entity</w:t>
      </w:r>
    </w:p>
    <w:p>
      <w:pPr>
        <w:sectPr>
          <w:pgSz w:w="11900" w:h="16838" w:orient="portrait"/>
          <w:cols w:equalWidth="0" w:num="1">
            <w:col w:w="10544"/>
          </w:cols>
          <w:pgMar w:left="876" w:top="270" w:right="479" w:bottom="1440" w:gutter="0" w:footer="0" w:header="0"/>
        </w:sectPr>
      </w:pPr>
    </w:p>
    <w:bookmarkStart w:id="264" w:name="page265"/>
    <w:bookmarkEnd w:id="264"/>
    <w:p>
      <w:pPr>
        <w:ind w:right="5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assets and liabilities distinct from those of WESCO and any other Person, and is not a division of WESCO, its Affiliates or any other Person. Without limiting the generality of the foregoing and in addition to and consistent with the other covenants set forth herein, each of the Seller and WESCO shall take such actions as shall be required in order that:</w:t>
      </w:r>
    </w:p>
    <w:p>
      <w:pPr>
        <w:spacing w:after="0" w:line="68" w:lineRule="exact"/>
        <w:rPr>
          <w:sz w:val="20"/>
          <w:szCs w:val="20"/>
          <w:color w:val="auto"/>
        </w:rPr>
      </w:pPr>
    </w:p>
    <w:p>
      <w:pPr>
        <w:ind w:left="440" w:firstLine="419"/>
        <w:spacing w:after="0" w:line="261" w:lineRule="auto"/>
        <w:tabs>
          <w:tab w:leader="none" w:pos="1108"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will be a limited purpose corporation whose primary activities are restricted in its certificate of incorporation to: (i) purchasing or otherwise acquiring from the Originators, owning, holding, granting security interests or selling interests in Pool Assets, (ii) entering into agreements for the selling and servicing of the Receivables Pool, and (iii) conducting such other activities as it deems necessary or appropriate to carry out its primary activities;</w:t>
      </w:r>
    </w:p>
    <w:p>
      <w:pPr>
        <w:spacing w:after="0" w:line="71" w:lineRule="exact"/>
        <w:rPr>
          <w:rFonts w:ascii="Times New Roman" w:cs="Times New Roman" w:eastAsia="Times New Roman" w:hAnsi="Times New Roman"/>
          <w:sz w:val="18"/>
          <w:szCs w:val="18"/>
          <w:color w:val="auto"/>
        </w:rPr>
      </w:pPr>
    </w:p>
    <w:p>
      <w:pPr>
        <w:ind w:left="440" w:right="340" w:firstLine="419"/>
        <w:spacing w:after="0" w:line="282" w:lineRule="auto"/>
        <w:tabs>
          <w:tab w:leader="none" w:pos="1118"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shall not engage in any business or activity, or incur any indebtedness or liability, other than as expressly permitted by the Transaction Documents;</w:t>
      </w:r>
    </w:p>
    <w:p>
      <w:pPr>
        <w:spacing w:after="0" w:line="53" w:lineRule="exact"/>
        <w:rPr>
          <w:rFonts w:ascii="Times New Roman" w:cs="Times New Roman" w:eastAsia="Times New Roman" w:hAnsi="Times New Roman"/>
          <w:sz w:val="18"/>
          <w:szCs w:val="18"/>
          <w:color w:val="auto"/>
        </w:rPr>
      </w:pPr>
    </w:p>
    <w:p>
      <w:pPr>
        <w:ind w:left="440" w:right="100" w:firstLine="419"/>
        <w:spacing w:after="0" w:line="258" w:lineRule="auto"/>
        <w:tabs>
          <w:tab w:leader="none" w:pos="1108"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less than one member of the Seller’s Board of Directors (the “</w:t>
      </w:r>
      <w:r>
        <w:rPr>
          <w:rFonts w:ascii="Times New Roman" w:cs="Times New Roman" w:eastAsia="Times New Roman" w:hAnsi="Times New Roman"/>
          <w:sz w:val="18"/>
          <w:szCs w:val="18"/>
          <w:u w:val="single" w:color="auto"/>
          <w:color w:val="auto"/>
        </w:rPr>
        <w:t>Independent Director</w:t>
      </w:r>
      <w:r>
        <w:rPr>
          <w:rFonts w:ascii="Times New Roman" w:cs="Times New Roman" w:eastAsia="Times New Roman" w:hAnsi="Times New Roman"/>
          <w:sz w:val="18"/>
          <w:szCs w:val="18"/>
          <w:color w:val="auto"/>
        </w:rPr>
        <w:t>”) shall be an individual who is not a direct, indirect or beneficial stockholder, officer, director, employee, affiliate, associate or supplier of WESCO or any of its Affiliates. The certificate of incorporation of the Seller shall provide that: (i) the Seller’s Board of Directors shall not approve, or take any other action to cause the filing of, a voluntary bankruptcy petition with respect to the Seller unless the Independent Director shall approve the taking of such action in writing before the taking of such action, and (ii) such provision cannot be amended without the prior written consent of the Independent Director;</w:t>
      </w:r>
    </w:p>
    <w:p>
      <w:pPr>
        <w:spacing w:after="0" w:line="75"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Director shall not at any time serve as a trustee in bankruptcy for the Seller, WESCO or any Affiliate thereof;</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108"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employee, consultant or agent of the Seller will be compensated from the Seller’s funds for services provided to the Seller. The Seller will not engage any agents other than its attorneys, auditors and other professionals, and a servicer and any other agent contemplated by the Transaction Documents for the Receivables Pool, which servicer will be fully compensated for its services by payment of the Servicing Fee, and a manager, which manager will be fully compensated from the Seller’s funds;</w:t>
      </w:r>
    </w:p>
    <w:p>
      <w:pPr>
        <w:spacing w:after="0" w:line="71" w:lineRule="exact"/>
        <w:rPr>
          <w:rFonts w:ascii="Times New Roman" w:cs="Times New Roman" w:eastAsia="Times New Roman" w:hAnsi="Times New Roman"/>
          <w:sz w:val="18"/>
          <w:szCs w:val="18"/>
          <w:color w:val="auto"/>
        </w:rPr>
      </w:pPr>
    </w:p>
    <w:p>
      <w:pPr>
        <w:ind w:left="440" w:firstLine="419"/>
        <w:spacing w:after="0" w:line="255" w:lineRule="auto"/>
        <w:tabs>
          <w:tab w:leader="none" w:pos="1088"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Seller will contract with the Servicer to perform for the Seller all operations required on a daily basis to service the Receivables Pool. The Seller will pay the Servicer the Servicing Fee pursuant to this Agreement. The Seller will not incur any material indirect or overhead expenses for items shared with WESCO (or any other Affiliate thereof) that are not reflected in the Servicing Fee. To the extent, if any, that the Seller (or any Affiliate thereof) shares items of expenses not reflected in the Servicing Fee or the manager’s fee, such as legal, auditing and other professional services, such expenses will be allocated to the extent practical on the basis of actual use or the value of services rendered, and otherwise on a basis reasonably related to the actual use or the value of services rendered; </w:t>
      </w:r>
      <w:r>
        <w:rPr>
          <w:rFonts w:ascii="Times New Roman" w:cs="Times New Roman" w:eastAsia="Times New Roman" w:hAnsi="Times New Roman"/>
          <w:sz w:val="18"/>
          <w:szCs w:val="18"/>
          <w:u w:val="single" w:color="auto"/>
          <w:color w:val="auto"/>
        </w:rPr>
        <w:t>it being understood</w:t>
      </w:r>
      <w:r>
        <w:rPr>
          <w:rFonts w:ascii="Times New Roman" w:cs="Times New Roman" w:eastAsia="Times New Roman" w:hAnsi="Times New Roman"/>
          <w:sz w:val="18"/>
          <w:szCs w:val="18"/>
          <w:color w:val="auto"/>
        </w:rPr>
        <w:t xml:space="preserve"> that WESCO shall pay all expenses relating to the preparation, negotiation, execution and delivery of the Transaction Documents, including legal, agency and other fees;</w:t>
      </w:r>
    </w:p>
    <w:p>
      <w:pPr>
        <w:sectPr>
          <w:pgSz w:w="11900" w:h="16838" w:orient="portrait"/>
          <w:cols w:equalWidth="0" w:num="1">
            <w:col w:w="11000"/>
          </w:cols>
          <w:pgMar w:left="440" w:top="270" w:right="459" w:bottom="1440" w:gutter="0" w:footer="0" w:header="0"/>
        </w:sectPr>
      </w:pPr>
    </w:p>
    <w:bookmarkStart w:id="265" w:name="page266"/>
    <w:bookmarkEnd w:id="265"/>
    <w:p>
      <w:pPr>
        <w:ind w:left="261" w:hanging="261"/>
        <w:spacing w:after="0"/>
        <w:tabs>
          <w:tab w:leader="none" w:pos="261"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Seller’s operating expenses will not be paid by WESCO or any other Affiliate thereof;</w:t>
      </w:r>
    </w:p>
    <w:p>
      <w:pPr>
        <w:spacing w:after="0" w:line="117" w:lineRule="exact"/>
        <w:rPr>
          <w:rFonts w:ascii="Times New Roman" w:cs="Times New Roman" w:eastAsia="Times New Roman" w:hAnsi="Times New Roman"/>
          <w:sz w:val="18"/>
          <w:szCs w:val="18"/>
          <w:color w:val="auto"/>
        </w:rPr>
      </w:pPr>
    </w:p>
    <w:p>
      <w:pPr>
        <w:ind w:left="-419" w:right="460" w:firstLine="419"/>
        <w:spacing w:after="0" w:line="282" w:lineRule="auto"/>
        <w:tabs>
          <w:tab w:leader="none" w:pos="258"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Seller’s business correspondence and other communications shall be conducted in the Seller’s own name and on its own separate stationery;</w:t>
      </w:r>
    </w:p>
    <w:p>
      <w:pPr>
        <w:spacing w:after="0" w:line="53" w:lineRule="exact"/>
        <w:rPr>
          <w:rFonts w:ascii="Times New Roman" w:cs="Times New Roman" w:eastAsia="Times New Roman" w:hAnsi="Times New Roman"/>
          <w:sz w:val="18"/>
          <w:szCs w:val="18"/>
          <w:color w:val="auto"/>
        </w:rPr>
      </w:pPr>
    </w:p>
    <w:p>
      <w:pPr>
        <w:ind w:left="221" w:hanging="221"/>
        <w:spacing w:after="0"/>
        <w:tabs>
          <w:tab w:leader="none" w:pos="221"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books and records will be maintained separately from those of WESCO and any other Affiliate thereof;</w:t>
      </w:r>
    </w:p>
    <w:p>
      <w:pPr>
        <w:spacing w:after="0" w:line="117" w:lineRule="exact"/>
        <w:rPr>
          <w:rFonts w:ascii="Times New Roman" w:cs="Times New Roman" w:eastAsia="Times New Roman" w:hAnsi="Times New Roman"/>
          <w:sz w:val="18"/>
          <w:szCs w:val="18"/>
          <w:color w:val="auto"/>
        </w:rPr>
      </w:pPr>
    </w:p>
    <w:p>
      <w:pPr>
        <w:ind w:left="-419" w:right="260" w:firstLine="419"/>
        <w:spacing w:after="0" w:line="289" w:lineRule="auto"/>
        <w:tabs>
          <w:tab w:leader="none" w:pos="218" w:val="left"/>
        </w:tabs>
        <w:numPr>
          <w:ilvl w:val="0"/>
          <w:numId w:val="3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financial statements of WESCO or any Affiliate thereof that are consolidated to include Seller will contain detailed notes clearly stating that: (i) a special purpose corporation exists as a Subsidiary of WESCO, and (ii) the Originators have sold receivables and other related assets to such special purpose Subsidiary that, in turn, has sold undivided interests therein to certain financial institutions and other entities;</w:t>
      </w:r>
    </w:p>
    <w:p>
      <w:pPr>
        <w:spacing w:after="0" w:line="49" w:lineRule="exact"/>
        <w:rPr>
          <w:rFonts w:ascii="Times New Roman" w:cs="Times New Roman" w:eastAsia="Times New Roman" w:hAnsi="Times New Roman"/>
          <w:sz w:val="17"/>
          <w:szCs w:val="17"/>
          <w:color w:val="auto"/>
        </w:rPr>
      </w:pPr>
    </w:p>
    <w:p>
      <w:pPr>
        <w:ind w:left="-419" w:right="420" w:firstLine="419"/>
        <w:spacing w:after="0" w:line="282" w:lineRule="auto"/>
        <w:tabs>
          <w:tab w:leader="none" w:pos="258"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assets will be maintained in a manner that facilitates their identification and segregation from those of WESCO or any Affiliate thereof;</w:t>
      </w:r>
    </w:p>
    <w:p>
      <w:pPr>
        <w:spacing w:after="0" w:line="53" w:lineRule="exact"/>
        <w:rPr>
          <w:rFonts w:ascii="Times New Roman" w:cs="Times New Roman" w:eastAsia="Times New Roman" w:hAnsi="Times New Roman"/>
          <w:sz w:val="18"/>
          <w:szCs w:val="18"/>
          <w:color w:val="auto"/>
        </w:rPr>
      </w:pPr>
    </w:p>
    <w:p>
      <w:pPr>
        <w:ind w:left="-419" w:firstLine="419"/>
        <w:spacing w:after="0" w:line="254" w:lineRule="auto"/>
        <w:tabs>
          <w:tab w:leader="none" w:pos="218"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will strictly observe corporate formalities in its dealings with WESCO or any Affiliate thereof, and funds or other assets of the Seller will not be commingled with those of WESCO or any Affiliate thereof except as permitted by this Agreement in connection with servicing the Pool Receivables. The Seller shall not maintain joint bank accounts or other depository accounts to which WESCO or any Affiliate thereof (other than WESCO in its capacity as the Servicer) has independent access. The Seller is not named, and has not entered into any agreement to be named, directly or indirectly, as a direct or contingent beneficiary or loss payee on any insurance policy with respect to any loss relating to the property of WESCO or any Subsidiary or other Affiliate of WESCO. The Seller will pay to the appropriate Affiliate the marginal increase or, in the absence of such increase, the market amount of its portion of the premium payable with respect to any insurance policy that covers the Seller and such Affiliate;</w:t>
      </w:r>
    </w:p>
    <w:p>
      <w:pPr>
        <w:spacing w:after="0" w:line="83" w:lineRule="exact"/>
        <w:rPr>
          <w:rFonts w:ascii="Times New Roman" w:cs="Times New Roman" w:eastAsia="Times New Roman" w:hAnsi="Times New Roman"/>
          <w:sz w:val="18"/>
          <w:szCs w:val="18"/>
          <w:color w:val="auto"/>
        </w:rPr>
      </w:pPr>
    </w:p>
    <w:p>
      <w:pPr>
        <w:ind w:left="-419" w:right="120" w:firstLine="419"/>
        <w:spacing w:after="0" w:line="256" w:lineRule="auto"/>
        <w:tabs>
          <w:tab w:leader="none" w:pos="308"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will maintain arm’s-length relationships with WESCO (and any Affiliate thereof). Any Person that renders or otherwise furnishes services to the Seller will be compensated by the Seller at market rates for such services it renders or otherwise furnishes to the Seller. Neither the Seller nor WESCO will be or will hold itself out to be responsible for the debts of the other or the decisions or actions respecting the daily business and affairs of the other. The Seller and WESCO will immediately correct any known misrepresentation with respect to the foregoing, and they will not operate or purport to operate as an integrated single economic unit with respect to each other or in their dealing with any other entity; and</w:t>
      </w:r>
    </w:p>
    <w:p>
      <w:pPr>
        <w:spacing w:after="0" w:line="79" w:lineRule="exact"/>
        <w:rPr>
          <w:rFonts w:ascii="Times New Roman" w:cs="Times New Roman" w:eastAsia="Times New Roman" w:hAnsi="Times New Roman"/>
          <w:sz w:val="18"/>
          <w:szCs w:val="18"/>
          <w:color w:val="auto"/>
        </w:rPr>
      </w:pPr>
    </w:p>
    <w:p>
      <w:pPr>
        <w:ind w:left="261" w:hanging="261"/>
        <w:spacing w:after="0"/>
        <w:tabs>
          <w:tab w:leader="none" w:pos="261"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WESCO shall not pay the salaries of Seller’s employees, if any.</w:t>
      </w:r>
    </w:p>
    <w:p>
      <w:pPr>
        <w:sectPr>
          <w:pgSz w:w="11900" w:h="16838" w:orient="portrait"/>
          <w:cols w:equalWidth="0" w:num="1">
            <w:col w:w="10101"/>
          </w:cols>
          <w:pgMar w:left="1299" w:top="270" w:right="499" w:bottom="1440" w:gutter="0" w:footer="0" w:header="0"/>
        </w:sectPr>
      </w:pPr>
    </w:p>
    <w:bookmarkStart w:id="266" w:name="page267"/>
    <w:bookmarkEnd w:id="26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TERMINATION EVENTS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of the following shall be a “</w:t>
      </w:r>
      <w:r>
        <w:rPr>
          <w:rFonts w:ascii="Times New Roman" w:cs="Times New Roman" w:eastAsia="Times New Roman" w:hAnsi="Times New Roman"/>
          <w:sz w:val="18"/>
          <w:szCs w:val="18"/>
          <w:u w:val="single" w:color="auto"/>
          <w:color w:val="auto"/>
        </w:rPr>
        <w:t>Termination Event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74" w:lineRule="auto"/>
        <w:rPr>
          <w:sz w:val="20"/>
          <w:szCs w:val="20"/>
          <w:color w:val="auto"/>
        </w:rPr>
      </w:pPr>
      <w:r>
        <w:rPr>
          <w:rFonts w:ascii="Times New Roman" w:cs="Times New Roman" w:eastAsia="Times New Roman" w:hAnsi="Times New Roman"/>
          <w:sz w:val="17"/>
          <w:szCs w:val="17"/>
          <w:color w:val="auto"/>
        </w:rPr>
        <w:t xml:space="preserve">(dddd) (i) the Seller, WESCO, any Originator or the Servicer shall fail to perform or observe any term, covenant or agreement under this Agreement or any other Transaction Document and, except as otherwise provided herein, such failure shall continue for 5 days after knowledge or notice thereof, (ii) the Seller or the Servicer shall fail to make when due any payment or deposit to be made by it under this Agreement and such failure shall continue unremedied for one Business Day, (iii) WESCO shall resign as Servicer, and no successor Servicer reasonably satisfactory to the Administrator and the Majority Purchasers shall have been appointed or (iv) the Seller, WESCO, any Originator or the Servicer shall fail to perform or observe any term, covenant set forth in </w:t>
      </w:r>
      <w:r>
        <w:rPr>
          <w:rFonts w:ascii="Times New Roman" w:cs="Times New Roman" w:eastAsia="Times New Roman" w:hAnsi="Times New Roman"/>
          <w:sz w:val="17"/>
          <w:szCs w:val="17"/>
          <w:u w:val="single" w:color="auto"/>
          <w:color w:val="auto"/>
        </w:rPr>
        <w:t>Sections 1(bb)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(cc)</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Sections 2(t)</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(u)</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u w:val="single" w:color="auto"/>
          <w:color w:val="auto"/>
        </w:rPr>
        <w:t>Exhibit III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Sections 1(r)</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2(j)</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u w:val="single" w:color="auto"/>
          <w:color w:val="auto"/>
        </w:rPr>
        <w:t>Exhibit IV</w:t>
      </w:r>
      <w:r>
        <w:rPr>
          <w:rFonts w:ascii="Times New Roman" w:cs="Times New Roman" w:eastAsia="Times New Roman" w:hAnsi="Times New Roman"/>
          <w:sz w:val="17"/>
          <w:szCs w:val="17"/>
          <w:color w:val="auto"/>
        </w:rPr>
        <w:t xml:space="preserve"> to this Agreement;</w:t>
      </w:r>
    </w:p>
    <w:p>
      <w:pPr>
        <w:spacing w:after="0" w:line="65" w:lineRule="exact"/>
        <w:rPr>
          <w:sz w:val="20"/>
          <w:szCs w:val="20"/>
          <w:color w:val="auto"/>
        </w:rPr>
      </w:pPr>
    </w:p>
    <w:p>
      <w:pPr>
        <w:ind w:right="180" w:firstLine="436"/>
        <w:spacing w:after="0" w:line="282" w:lineRule="auto"/>
        <w:tabs>
          <w:tab w:leader="none" w:pos="925"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WESCO (or any Affiliate thereof) shall fail to transfer to any successor Servicer when required any rights pursuant to this Agreement that WESCO (or such Affiliate) then has as Servicer;</w:t>
      </w:r>
    </w:p>
    <w:p>
      <w:pPr>
        <w:spacing w:after="0" w:line="53" w:lineRule="exact"/>
        <w:rPr>
          <w:rFonts w:ascii="Times New Roman" w:cs="Times New Roman" w:eastAsia="Times New Roman" w:hAnsi="Times New Roman"/>
          <w:sz w:val="18"/>
          <w:szCs w:val="18"/>
          <w:color w:val="auto"/>
        </w:rPr>
      </w:pPr>
    </w:p>
    <w:p>
      <w:pPr>
        <w:jc w:val="both"/>
        <w:ind w:right="40" w:firstLine="436"/>
        <w:spacing w:after="0" w:line="261" w:lineRule="auto"/>
        <w:tabs>
          <w:tab w:leader="none" w:pos="835"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or deemed made by the Seller, WESCO or any Originator (or any of their respective officers) under or in connection with this Agreement or any other Transaction Document, or any information or report delivered by the Seller, WESCO or any Originator or the Servicer pursuant to this Agreement or any other Transaction Document, shall prove to have been incorrect or untrue in any material respect when made or deemed made or delivered, and shall remain incorrect or untrue for 5 days after notice to the Seller or the Servicer of such inaccuracy;</w:t>
      </w:r>
    </w:p>
    <w:p>
      <w:pPr>
        <w:spacing w:after="0" w:line="71" w:lineRule="exact"/>
        <w:rPr>
          <w:rFonts w:ascii="Times New Roman" w:cs="Times New Roman" w:eastAsia="Times New Roman" w:hAnsi="Times New Roman"/>
          <w:sz w:val="18"/>
          <w:szCs w:val="18"/>
          <w:color w:val="auto"/>
        </w:rPr>
      </w:pPr>
    </w:p>
    <w:p>
      <w:pPr>
        <w:ind w:right="260" w:firstLine="436"/>
        <w:spacing w:after="0" w:line="282" w:lineRule="auto"/>
        <w:tabs>
          <w:tab w:leader="none" w:pos="965"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or the Servicer shall fail to deliver the Information Package or Daily Report pursuant to this Agreement, and such failure shall remain unremedied for two days;</w:t>
      </w:r>
    </w:p>
    <w:p>
      <w:pPr>
        <w:spacing w:after="0" w:line="53" w:lineRule="exact"/>
        <w:rPr>
          <w:rFonts w:ascii="Times New Roman" w:cs="Times New Roman" w:eastAsia="Times New Roman" w:hAnsi="Times New Roman"/>
          <w:sz w:val="18"/>
          <w:szCs w:val="18"/>
          <w:color w:val="auto"/>
        </w:rPr>
      </w:pPr>
    </w:p>
    <w:p>
      <w:pPr>
        <w:ind w:right="100" w:firstLine="436"/>
        <w:spacing w:after="0" w:line="258" w:lineRule="auto"/>
        <w:tabs>
          <w:tab w:leader="none" w:pos="965"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or any Purchase or reinvestment pursuant to this Agreement shall for any reason: (i) cease to create, or the Purchased Interest shall for any reason cease to be, a valid and enforceable perfected undivided percentage ownership or security interest to the extent of the Purchased Interest in each Pool Receivable, the Related Security and Collections with respect thereto, free and clear of any Adverse Claim, or (ii) cease to create with respect to the Pool Assets, or the interest of the Administrator (for the benefit of the Purchasers) with respect to such Pool Assets shall cease to be, a valid and enforceable first priority perfected security interest, free and clear of any Adverse Claim;</w:t>
      </w:r>
    </w:p>
    <w:p>
      <w:pPr>
        <w:spacing w:after="0" w:line="75" w:lineRule="exact"/>
        <w:rPr>
          <w:rFonts w:ascii="Times New Roman" w:cs="Times New Roman" w:eastAsia="Times New Roman" w:hAnsi="Times New Roman"/>
          <w:sz w:val="18"/>
          <w:szCs w:val="18"/>
          <w:color w:val="auto"/>
        </w:rPr>
      </w:pPr>
    </w:p>
    <w:p>
      <w:pPr>
        <w:ind w:right="100" w:firstLine="436"/>
        <w:spacing w:after="0" w:line="261" w:lineRule="auto"/>
        <w:tabs>
          <w:tab w:leader="none" w:pos="805"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WESCO, Holdings or any Originator shall generally not pay its debts as such debts become due, or shall admit in writing its inability to pay its debts generally, or shall make a general assignment for the benefit of creditors; or any proceeding shall be instituted by or against the Seller, WESCO, Holdings or any Originator seeking to adjudicate it a bankrupt or insolvent, or seeking liquidation, winding up, reorganization, arrangement, adjustment, protection,</w:t>
      </w:r>
    </w:p>
    <w:p>
      <w:pPr>
        <w:sectPr>
          <w:pgSz w:w="11900" w:h="16838" w:orient="portrait"/>
          <w:cols w:equalWidth="0" w:num="1">
            <w:col w:w="11020"/>
          </w:cols>
          <w:pgMar w:left="440" w:top="270" w:right="439" w:bottom="1440" w:gutter="0" w:footer="0" w:header="0"/>
        </w:sectPr>
      </w:pPr>
    </w:p>
    <w:bookmarkStart w:id="267" w:name="page268"/>
    <w:bookmarkEnd w:id="267"/>
    <w:p>
      <w:pPr>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relief or composition of it or its debts under any law relating to bankruptcy, insolvency or reorganization or relief of debtors, or seeking the entry of an order for relief or the appointment of a receiver, trustee, custodian or other similar official for it or for any substantial part of its property and, in the case of any such proceeding instituted against it (but not instituted by it), either such proceeding shall remain undismissed or unstayed for a period of 60 days, or any of the actions sought in such proceeding (including the entry of an order for relief against, or the appointment of a receiver, trustee, custodian or other similar official for, it or for any substantial part of its property) shall occur; or the Seller, WESCO, Holdings or any Originator shall take any corporate action to authorize any of the actions set forth above in this paragraph;</w:t>
      </w:r>
    </w:p>
    <w:p>
      <w:pPr>
        <w:spacing w:after="0" w:line="79" w:lineRule="exact"/>
        <w:rPr>
          <w:sz w:val="20"/>
          <w:szCs w:val="20"/>
          <w:color w:val="auto"/>
        </w:rPr>
      </w:pPr>
    </w:p>
    <w:p>
      <w:pPr>
        <w:jc w:val="both"/>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(jjjj) (i) the average for three most recently ended consecutive calendar months of: (A) the Default Ratio shall exceed 3.25%, (B) the Delinquency Ratio shall exceed 4.00% or (C) the Dilution Ratio shall exceed 7.50% or (ii) (A) the Default Ratio shall exceed 4.00%, (B) the Delinquency Ratio shall exceed 5.00% or (C) the Days’ Sales Outstanding shall exceed 62 days;</w:t>
      </w:r>
    </w:p>
    <w:p>
      <w:pPr>
        <w:spacing w:after="0" w:line="68" w:lineRule="exact"/>
        <w:rPr>
          <w:sz w:val="20"/>
          <w:szCs w:val="20"/>
          <w:color w:val="auto"/>
        </w:rPr>
      </w:pPr>
    </w:p>
    <w:p>
      <w:pPr>
        <w:ind w:left="964" w:hanging="524"/>
        <w:spacing w:after="0"/>
        <w:tabs>
          <w:tab w:leader="none" w:pos="964"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Control shall occur;</w:t>
      </w:r>
    </w:p>
    <w:p>
      <w:pPr>
        <w:spacing w:after="0" w:line="117" w:lineRule="exact"/>
        <w:rPr>
          <w:rFonts w:ascii="Times New Roman" w:cs="Times New Roman" w:eastAsia="Times New Roman" w:hAnsi="Times New Roman"/>
          <w:sz w:val="18"/>
          <w:szCs w:val="18"/>
          <w:color w:val="auto"/>
        </w:rPr>
      </w:pPr>
    </w:p>
    <w:p>
      <w:pPr>
        <w:ind w:left="4" w:right="160" w:firstLine="436"/>
        <w:spacing w:after="0" w:line="258" w:lineRule="auto"/>
        <w:tabs>
          <w:tab w:leader="none" w:pos="809"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(i) the sum of (A) the Aggregate Investment plus (B) the Total Reserves, exceeds (ii) the sum of (A) the Net Receivables Pool Balance at such time plus (B) the Purchasers’ share of the amount of Collections then on deposit in the Lock-Box Accounts (other than (I) amounts on deposit in the Exception Accounts and (II) amounts set aside in the Lock-Box Accounts representing Discount and Fees), and such circumstance shall not have been cured within two Business Days after an officer of the Seller, the Servicer, WESCO, Holdings or any Originator obtains knowledge or notice thereof;</w:t>
      </w:r>
    </w:p>
    <w:p>
      <w:pPr>
        <w:spacing w:after="0" w:line="75"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7"/>
          <w:szCs w:val="17"/>
          <w:color w:val="auto"/>
        </w:rPr>
        <w:t>(mmmm) (i) WESCO, Holdings or any of their respective Subsidiaries shall fail to pay any principal of or premium or interest on any of its Debt that is outstanding in a principal amount of at least $</w:t>
      </w:r>
      <w:r>
        <w:rPr>
          <w:rFonts w:ascii="Times New Roman" w:cs="Times New Roman" w:eastAsia="Times New Roman" w:hAnsi="Times New Roman"/>
          <w:sz w:val="17"/>
          <w:szCs w:val="17"/>
          <w:color w:val="FF0000"/>
          <w:strike w:val="1"/>
        </w:rPr>
        <w:t>50,000,000</w:t>
      </w:r>
      <w:r>
        <w:rPr>
          <w:rFonts w:ascii="Times New Roman" w:cs="Times New Roman" w:eastAsia="Times New Roman" w:hAnsi="Times New Roman"/>
          <w:sz w:val="17"/>
          <w:szCs w:val="17"/>
          <w:u w:val="single" w:color="auto"/>
          <w:color w:val="0000FF"/>
        </w:rPr>
        <w:t>75,000,000</w:t>
      </w:r>
      <w:r>
        <w:rPr>
          <w:rFonts w:ascii="Times New Roman" w:cs="Times New Roman" w:eastAsia="Times New Roman" w:hAnsi="Times New Roman"/>
          <w:sz w:val="17"/>
          <w:szCs w:val="17"/>
          <w:color w:val="auto"/>
        </w:rPr>
        <w:t xml:space="preserve"> in the aggregate when the same becomes due and payable (whether by scheduled maturity, required prepayment, acceleration, demand or otherwise), and such failure shall continue after the applicable grace period, if any, specified in this Agreement, mortgage, indenture or instrument relating to such Debt (and shall have not been waived); or (ii) any other event shall occur or condition shall exist under any agreement, mortgage, indenture or instrument relating to any such Debt and shall continue after the applicable grace period, if any, specified in such agreement, mortgage, indenture or instrument (and shall have not been waived), if, in either case: (a) the effect of such non-payment, event or condition is to give the applicable debtholders the right (whether acted upon or not) to accelerate the maturity of such Debt,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2914650</wp:posOffset>
            </wp:positionH>
            <wp:positionV relativeFrom="paragraph">
              <wp:posOffset>-675005</wp:posOffset>
            </wp:positionV>
            <wp:extent cx="51435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ind w:left="264" w:hanging="264"/>
        <w:spacing w:after="0"/>
        <w:tabs>
          <w:tab w:leader="none" w:pos="264"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Debt shall be declared to be due and payable, or required to be prepaid (other than by a regularly scheduled required prepayment),</w:t>
      </w:r>
    </w:p>
    <w:p>
      <w:pPr>
        <w:spacing w:after="0" w:line="9" w:lineRule="exact"/>
        <w:rPr>
          <w:rFonts w:ascii="Times New Roman" w:cs="Times New Roman" w:eastAsia="Times New Roman" w:hAnsi="Times New Roman"/>
          <w:sz w:val="18"/>
          <w:szCs w:val="18"/>
          <w:color w:val="auto"/>
        </w:rPr>
      </w:pPr>
    </w:p>
    <w:p>
      <w:pPr>
        <w:ind w:left="4" w:right="4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redeemed, purchased or defeased, or an offer to repay, redeem, purchase or defease such Debt shall be required to be made, in each case before the stated maturity thereof;</w:t>
      </w:r>
    </w:p>
    <w:p>
      <w:pPr>
        <w:spacing w:after="0" w:line="73" w:lineRule="exact"/>
        <w:rPr>
          <w:rFonts w:ascii="Times New Roman" w:cs="Times New Roman" w:eastAsia="Times New Roman" w:hAnsi="Times New Roman"/>
          <w:sz w:val="18"/>
          <w:szCs w:val="18"/>
          <w:color w:val="auto"/>
        </w:rPr>
      </w:pPr>
    </w:p>
    <w:p>
      <w:pPr>
        <w:jc w:val="both"/>
        <w:ind w:left="4" w:right="40" w:firstLine="436"/>
        <w:spacing w:after="0" w:line="276" w:lineRule="auto"/>
        <w:tabs>
          <w:tab w:leader="none" w:pos="969" w:val="left"/>
        </w:tabs>
        <w:numPr>
          <w:ilvl w:val="1"/>
          <w:numId w:val="3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either: (i) a contribution failure shall occur with respect to any Benefit Plan sufficient to give rise to a lien under Section 303(k) of ERISA, and such failure could reasonably be expected to result in a Material Adverse Effect, (ii) the Internal Revenue Service shall file a notice of lien asserting</w:t>
      </w:r>
    </w:p>
    <w:p>
      <w:pPr>
        <w:ind w:left="4" w:right="2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a claim or claims pursuant to the Internal Revenue Code with regard to any of the assets of Seller or (2) a claim or claims pursuant to the Internal Revenue Code with</w:t>
      </w:r>
    </w:p>
    <w:p>
      <w:pPr>
        <w:sectPr>
          <w:pgSz w:w="11900" w:h="16838" w:orient="portrait"/>
          <w:cols w:equalWidth="0" w:num="1">
            <w:col w:w="10984"/>
          </w:cols>
          <w:pgMar w:left="436" w:top="270" w:right="479" w:bottom="1440" w:gutter="0" w:footer="0" w:header="0"/>
        </w:sectPr>
      </w:pPr>
    </w:p>
    <w:bookmarkStart w:id="268" w:name="page269"/>
    <w:bookmarkEnd w:id="268"/>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regard to any of the assets of any Originator, WESCO, Holdings or any ERISA Affiliate, and in each case such lien could reasonably be expected to result in a Material Adverse Effect and shall have been filed and not released within 10 days, or (iii) the Pension Benefit Guaranty Corporation shall, or shall indicate its intention in writing to the Seller, any Originator, WESCO, Holdings or any ERISA Affiliate to, either file a notice of lien asserting a claim pursuant to ERISA with regard to any assets of the Seller, any Originator, WESCO, Holdings or any ERISA Affiliate or terminate any Benefit Plan that has unfunded benefit liabilities, or any steps shall have been taken to terminate any Benefit Plan subject to Title IV of ERISA, in each case, as could reasonably be expected to result in a Material Adverse Effect and such lien shall have been filed and not released within 10 days;</w:t>
      </w:r>
    </w:p>
    <w:p>
      <w:pPr>
        <w:spacing w:after="0" w:line="79"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(oooo) (i) one or more final judgments for the payment of money shall be entered against the Seller or (ii) one or more final judgments for the payment of money in an amount in excess of $</w:t>
      </w:r>
      <w:r>
        <w:rPr>
          <w:rFonts w:ascii="Times New Roman" w:cs="Times New Roman" w:eastAsia="Times New Roman" w:hAnsi="Times New Roman"/>
          <w:sz w:val="18"/>
          <w:szCs w:val="18"/>
          <w:color w:val="FF0000"/>
          <w:strike w:val="1"/>
        </w:rPr>
        <w:t>50,000,000</w:t>
      </w:r>
      <w:r>
        <w:rPr>
          <w:rFonts w:ascii="Times New Roman" w:cs="Times New Roman" w:eastAsia="Times New Roman" w:hAnsi="Times New Roman"/>
          <w:sz w:val="18"/>
          <w:szCs w:val="18"/>
          <w:u w:val="single" w:color="auto"/>
          <w:color w:val="0000FF"/>
        </w:rPr>
        <w:t>75,000,000</w:t>
      </w:r>
      <w:r>
        <w:rPr>
          <w:rFonts w:ascii="Times New Roman" w:cs="Times New Roman" w:eastAsia="Times New Roman" w:hAnsi="Times New Roman"/>
          <w:sz w:val="18"/>
          <w:szCs w:val="18"/>
          <w:color w:val="auto"/>
        </w:rPr>
        <w:t xml:space="preserve"> , individually or in the aggregate, shall be entered against the Servicer on claims not covered by insurance or as to which the insurance carrier has denied its responsibility, and such judgment shall continue unsatisfied and in effect for sixty (60) consecutive days without a stay of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-276860</wp:posOffset>
            </wp:positionV>
            <wp:extent cx="51435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52" w:lineRule="exact"/>
        <w:rPr>
          <w:sz w:val="20"/>
          <w:szCs w:val="20"/>
          <w:color w:val="auto"/>
        </w:rPr>
      </w:pPr>
    </w:p>
    <w:p>
      <w:pPr>
        <w:ind w:right="140" w:firstLine="436"/>
        <w:spacing w:after="0" w:line="266" w:lineRule="auto"/>
        <w:tabs>
          <w:tab w:leader="none" w:pos="965"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Purchase and Sale Termination Date</w:t>
      </w:r>
      <w:r>
        <w:rPr>
          <w:rFonts w:ascii="Times New Roman" w:cs="Times New Roman" w:eastAsia="Times New Roman" w:hAnsi="Times New Roman"/>
          <w:sz w:val="18"/>
          <w:szCs w:val="18"/>
          <w:color w:val="auto"/>
        </w:rPr>
        <w:t>” under and as defined in the Sale Agreement shall occur under the Sale Agreement or any Originator shall for any reason cease to transfer, or cease to have the legal capacity to transfer, or otherwise be incapable of transferring Receivables to the Seller under the Sale Agreement;</w:t>
      </w:r>
    </w:p>
    <w:p>
      <w:pPr>
        <w:spacing w:after="0" w:line="67" w:lineRule="exact"/>
        <w:rPr>
          <w:rFonts w:ascii="Times New Roman" w:cs="Times New Roman" w:eastAsia="Times New Roman" w:hAnsi="Times New Roman"/>
          <w:sz w:val="18"/>
          <w:szCs w:val="18"/>
          <w:color w:val="auto"/>
        </w:rPr>
      </w:pPr>
    </w:p>
    <w:p>
      <w:pPr>
        <w:ind w:firstLine="436"/>
        <w:spacing w:after="0" w:line="253" w:lineRule="auto"/>
        <w:tabs>
          <w:tab w:leader="none" w:pos="965"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last day of any fiscal quarter of Holdings, to the extent that a Fixed Charge Coverage Trigger Event shall have occurred, the Fixed Charge Coverage Ratio shall be less than 1.0 to 1.0. For purposes of this </w:t>
      </w:r>
      <w:r>
        <w:rPr>
          <w:rFonts w:ascii="Times New Roman" w:cs="Times New Roman" w:eastAsia="Times New Roman" w:hAnsi="Times New Roman"/>
          <w:sz w:val="18"/>
          <w:szCs w:val="18"/>
          <w:u w:val="single" w:color="auto"/>
          <w:color w:val="auto"/>
        </w:rPr>
        <w:t>clause (n)</w:t>
      </w:r>
      <w:r>
        <w:rPr>
          <w:rFonts w:ascii="Times New Roman" w:cs="Times New Roman" w:eastAsia="Times New Roman" w:hAnsi="Times New Roman"/>
          <w:sz w:val="18"/>
          <w:szCs w:val="18"/>
          <w:color w:val="auto"/>
        </w:rPr>
        <w:t xml:space="preserve">, unless otherwise defined in this Agreement, terms used herein (including all defined terms used within such terms) shall have the respective meaning assigned to such terms in the Credit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in the event the Credit Agreement is terminated or such defined terms are no longer used in the Credit Agreement, the respective meaning assigned to such terms immediately preceding such termination or non-usage shall be used for purposes of this Agreement and (ii) if, after the </w:t>
      </w:r>
      <w:r>
        <w:rPr>
          <w:rFonts w:ascii="Times New Roman" w:cs="Times New Roman" w:eastAsia="Times New Roman" w:hAnsi="Times New Roman"/>
          <w:sz w:val="18"/>
          <w:szCs w:val="18"/>
          <w:color w:val="FF0000"/>
          <w:strike w:val="1"/>
        </w:rPr>
        <w:t>Closing</w:t>
      </w:r>
      <w:r>
        <w:rPr>
          <w:rFonts w:ascii="Times New Roman" w:cs="Times New Roman" w:eastAsia="Times New Roman" w:hAnsi="Times New Roman"/>
          <w:sz w:val="18"/>
          <w:szCs w:val="18"/>
          <w:u w:val="single" w:color="auto"/>
          <w:color w:val="0000FF"/>
        </w:rPr>
        <w:t>Amendment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Date, the covenant level set forth in Section 6.12 of the Credit Agreement (or any of the defined terms used in connection with such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covenant) is amended, modified or waived, it shall, for all purposes of this Agreement similarly be amended, modified or waived, upon the Seller’s delivery of (A) a notice of such an amendment to the Credit Agreement (which notice shall enclose a copy of such amendment to the Credit Agreement) to the Administrator and each Purchaser not later than 30 days after the effectiveness of such amendment and (B) a certification that each of the following conditions were satisfied at the time of such Credit Agreement amendment: (x) the Majority Purchasers (without giving effect to the proviso in the definition of “Majority Purchasers”) and the Administrator were a party to the Credit Agreement, (y) such amendment, modification or waiver was consummated in accordance with the terms of the Credit Agreement and (z) the Majority Purchasers (without giving effect to the proviso in the definition of “Majority Purchasers”) and the Administrator consented to such amendment, modification or waiver pursuant to the Credit Agreement;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-957580</wp:posOffset>
            </wp:positionV>
            <wp:extent cx="56578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ectPr>
          <w:pgSz w:w="11900" w:h="16838" w:orient="portrait"/>
          <w:cols w:equalWidth="0" w:num="1">
            <w:col w:w="10980"/>
          </w:cols>
          <w:pgMar w:left="440" w:top="270" w:right="479" w:bottom="1440" w:gutter="0" w:footer="0" w:header="0"/>
        </w:sectPr>
      </w:pPr>
    </w:p>
    <w:bookmarkStart w:id="269" w:name="page270"/>
    <w:bookmarkEnd w:id="269"/>
    <w:p>
      <w:pPr>
        <w:ind w:left="4" w:firstLine="436"/>
        <w:spacing w:after="0" w:line="268" w:lineRule="auto"/>
        <w:tabs>
          <w:tab w:leader="none" w:pos="849" w:val="left"/>
        </w:tabs>
        <w:numPr>
          <w:ilvl w:val="1"/>
          <w:numId w:val="3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either (i) a “Change of Control” (as defined in the Credit Agreement) occurs with respect to Holdings or (ii) Holdings breaches or defaults in respect of its negative covenant set forth in </w:t>
      </w:r>
      <w:r>
        <w:rPr>
          <w:rFonts w:ascii="Times New Roman" w:cs="Times New Roman" w:eastAsia="Times New Roman" w:hAnsi="Times New Roman"/>
          <w:sz w:val="17"/>
          <w:szCs w:val="17"/>
          <w:u w:val="single" w:color="auto"/>
          <w:color w:val="auto"/>
        </w:rPr>
        <w:t>Section 6.03(c)</w:t>
      </w:r>
      <w:r>
        <w:rPr>
          <w:rFonts w:ascii="Times New Roman" w:cs="Times New Roman" w:eastAsia="Times New Roman" w:hAnsi="Times New Roman"/>
          <w:sz w:val="17"/>
          <w:szCs w:val="17"/>
          <w:color w:val="auto"/>
        </w:rPr>
        <w:t xml:space="preserve"> of the Credit Agreement, in each case, subject to any applicable grace periods set forth in the Credit Agreement with respect thereto. For purposes of this </w:t>
      </w:r>
      <w:r>
        <w:rPr>
          <w:rFonts w:ascii="Times New Roman" w:cs="Times New Roman" w:eastAsia="Times New Roman" w:hAnsi="Times New Roman"/>
          <w:sz w:val="17"/>
          <w:szCs w:val="17"/>
          <w:u w:val="single" w:color="auto"/>
          <w:color w:val="auto"/>
        </w:rPr>
        <w:t>clause (o)</w:t>
      </w:r>
      <w:r>
        <w:rPr>
          <w:rFonts w:ascii="Times New Roman" w:cs="Times New Roman" w:eastAsia="Times New Roman" w:hAnsi="Times New Roman"/>
          <w:sz w:val="17"/>
          <w:szCs w:val="17"/>
          <w:color w:val="auto"/>
        </w:rPr>
        <w:t xml:space="preserve"> terms used and covenant levels provided for in the Credit Agreement (including all defined terms used within such terms) shall have the respective meaning assigned to such terms and the covenant levels provided for, in each case, in the Credit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(i) in the event the Credit Agreement is terminated or such defined terms are no longer used in the Credit Agreement, the respective meaning assigned to such terms immediately preceding such termination or non-usage shall be used for purposes of this Agreement and (ii) if, after the Closing Date, the defined term “Change of Control” or the covenant set forth in Section 6.03(c) of the Credit Agreement (or any of the defined terms used in connection with such covenant) is amended, modified or waived, then for all purposes of this Agreement </w:t>
      </w:r>
      <w:r>
        <w:rPr>
          <w:rFonts w:ascii="Times New Roman" w:cs="Times New Roman" w:eastAsia="Times New Roman" w:hAnsi="Times New Roman"/>
          <w:sz w:val="17"/>
          <w:szCs w:val="17"/>
          <w:u w:val="single" w:color="auto"/>
          <w:color w:val="auto"/>
        </w:rPr>
        <w:t>clause</w:t>
      </w:r>
    </w:p>
    <w:p>
      <w:pPr>
        <w:ind w:left="4" w:right="20" w:hanging="4"/>
        <w:spacing w:after="0" w:line="252" w:lineRule="auto"/>
        <w:tabs>
          <w:tab w:leader="none" w:pos="259" w:val="left"/>
        </w:tabs>
        <w:numPr>
          <w:ilvl w:val="0"/>
          <w:numId w:val="31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shall similarly be amended, modified or waived, upon the Seller’s delivery of (A) a notice of such an amendment to the Credit Agreement (which notice shall enclose a copy of such amendment to the Credit Agreement) to the Administrator and each Purchaser not later than 30 days after the effectiveness of such amendment and (B) a certification that each of the following conditions were satisfied at the time of such Credit Agreement amendment: (x) the Majority Purchasers (without giving effect to the proviso in the definition of “Majority Purchasers”) and the Administrator were a party to the Credit Agreement, (y) such amendment, modification or waiver was consummated in accordance with the terms of the Credit Agreement and (z) the Majority Purchasers (without giving effect to the proviso in the definition of “Majority Purchasers”) and the Administrator consented to such amendment, modification or waiver pursuant to the Credit Agreement.</w:t>
      </w:r>
    </w:p>
    <w:p>
      <w:pPr>
        <w:sectPr>
          <w:pgSz w:w="11900" w:h="16838" w:orient="portrait"/>
          <w:cols w:equalWidth="0" w:num="1">
            <w:col w:w="10984"/>
          </w:cols>
          <w:pgMar w:left="436" w:top="270" w:right="479" w:bottom="1440" w:gutter="0" w:footer="0" w:header="0"/>
        </w:sectPr>
      </w:pPr>
    </w:p>
    <w:bookmarkStart w:id="270" w:name="page271"/>
    <w:bookmarkEnd w:id="27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CREDIT AND COLLECTION POLICY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On File With:</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WESCO Receivables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225 West Station Square Drive, Suite 700</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Pittsburgh, PA 15219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Attn: Treasurer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Telephone: (412) 454-2374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Facsimile: (412) 454-2515</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I</w:t>
      </w:r>
    </w:p>
    <w:p>
      <w:pPr>
        <w:sectPr>
          <w:pgSz w:w="11900" w:h="16838" w:orient="portrait"/>
          <w:cols w:equalWidth="0" w:num="1">
            <w:col w:w="9019"/>
          </w:cols>
          <w:pgMar w:left="1440" w:top="270" w:right="1440" w:bottom="1440" w:gutter="0" w:footer="0" w:header="0"/>
        </w:sectPr>
      </w:pPr>
    </w:p>
    <w:bookmarkStart w:id="271" w:name="page272"/>
    <w:bookmarkEnd w:id="271"/>
    <w:p>
      <w:pPr>
        <w:jc w:val="cente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II</w:t>
      </w:r>
    </w:p>
    <w:p>
      <w:pPr>
        <w:sectPr>
          <w:pgSz w:w="11900" w:h="16838" w:orient="portrait"/>
          <w:cols w:equalWidth="0" w:num="1">
            <w:col w:w="9019"/>
          </w:cols>
          <w:pgMar w:left="1440" w:top="270" w:right="1440" w:bottom="1440" w:gutter="0" w:footer="0" w:header="0"/>
        </w:sectPr>
      </w:pPr>
    </w:p>
    <w:p>
      <w:pPr>
        <w:spacing w:after="0" w:line="23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color w:val="auto"/>
        </w:rPr>
        <w:t>Schedule II</w:t>
      </w:r>
    </w:p>
    <w:p>
      <w:pPr>
        <w:sectPr>
          <w:pgSz w:w="11900" w:h="16838" w:orient="portrait"/>
          <w:cols w:equalWidth="0" w:num="1">
            <w:col w:w="9019"/>
          </w:cols>
          <w:pgMar w:left="1440" w:top="270" w:right="1440" w:bottom="1440" w:gutter="0" w:footer="0" w:header="0"/>
          <w:type w:val="continuous"/>
        </w:sectPr>
      </w:pPr>
    </w:p>
    <w:bookmarkStart w:id="272" w:name="page273"/>
    <w:bookmarkEnd w:id="272"/>
    <w:p>
      <w:pPr>
        <w:ind w:left="4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III</w:t>
      </w:r>
    </w:p>
    <w:p>
      <w:pPr>
        <w:spacing w:after="0" w:line="225" w:lineRule="exact"/>
        <w:rPr>
          <w:sz w:val="20"/>
          <w:szCs w:val="20"/>
          <w:color w:val="auto"/>
        </w:rPr>
      </w:pPr>
    </w:p>
    <w:p>
      <w:pPr>
        <w:jc w:val="right"/>
        <w:ind w:right="3879"/>
        <w:spacing w:after="0"/>
        <w:rPr>
          <w:sz w:val="20"/>
          <w:szCs w:val="20"/>
          <w:color w:val="auto"/>
        </w:rPr>
      </w:pPr>
      <w:r>
        <w:rPr>
          <w:rFonts w:ascii="Times New Roman" w:cs="Times New Roman" w:eastAsia="Times New Roman" w:hAnsi="Times New Roman"/>
          <w:sz w:val="18"/>
          <w:szCs w:val="18"/>
          <w:color w:val="auto"/>
        </w:rPr>
        <w:t>TRADE NAMES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Schedule III</w:t>
      </w:r>
    </w:p>
    <w:p>
      <w:pPr>
        <w:sectPr>
          <w:pgSz w:w="11900" w:h="16838" w:orient="portrait"/>
          <w:cols w:equalWidth="0" w:num="1">
            <w:col w:w="10019"/>
          </w:cols>
          <w:pgMar w:left="440" w:top="270" w:right="1440" w:bottom="1440" w:gutter="0" w:footer="0" w:header="0"/>
        </w:sectPr>
      </w:pPr>
    </w:p>
    <w:bookmarkStart w:id="273" w:name="page274"/>
    <w:bookmarkEnd w:id="273"/>
    <w:p>
      <w:pPr>
        <w:jc w:val="center"/>
        <w:ind w:right="-10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IV</w:t>
      </w:r>
    </w:p>
    <w:p>
      <w:pPr>
        <w:spacing w:after="0" w:line="225" w:lineRule="exact"/>
        <w:rPr>
          <w:sz w:val="20"/>
          <w:szCs w:val="20"/>
          <w:color w:val="auto"/>
        </w:rPr>
      </w:pPr>
    </w:p>
    <w:p>
      <w:pPr>
        <w:jc w:val="right"/>
        <w:ind w:right="3539"/>
        <w:spacing w:after="0"/>
        <w:rPr>
          <w:sz w:val="20"/>
          <w:szCs w:val="20"/>
          <w:color w:val="auto"/>
        </w:rPr>
      </w:pPr>
      <w:r>
        <w:rPr>
          <w:rFonts w:ascii="Times New Roman" w:cs="Times New Roman" w:eastAsia="Times New Roman" w:hAnsi="Times New Roman"/>
          <w:sz w:val="18"/>
          <w:szCs w:val="18"/>
          <w:color w:val="auto"/>
        </w:rPr>
        <w:t>NOTICE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WESCO RECEIVABLES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Seller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225 West Station Square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700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Pennsylvania 15219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(412) 454-2374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(412) 222-7427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WESCO DISTRIBUTION,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Servicer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225 West Station Square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700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Pennsylvania 15219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(412) 454-2374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(412) 222-7427</w:t>
      </w:r>
    </w:p>
    <w:p>
      <w:pPr>
        <w:spacing w:after="0" w:line="13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Schedule IV-1</w:t>
      </w:r>
    </w:p>
    <w:p>
      <w:pPr>
        <w:sectPr>
          <w:pgSz w:w="11900" w:h="16838" w:orient="portrait"/>
          <w:cols w:equalWidth="0" w:num="1">
            <w:col w:w="10019"/>
          </w:cols>
          <w:pgMar w:left="440" w:top="270" w:right="1440"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PNC BANK,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Administrator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Bank, National Association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Tower at PNC Plaza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Fifth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Pennsylvania 15222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Brian Stanley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No.: (412) 768-2001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 (412) 762-9184</w:t>
      </w:r>
    </w:p>
    <w:p>
      <w:pPr>
        <w:spacing w:after="0" w:line="139" w:lineRule="exact"/>
        <w:rPr>
          <w:sz w:val="20"/>
          <w:szCs w:val="20"/>
          <w:color w:val="auto"/>
        </w:rPr>
      </w:pPr>
    </w:p>
    <w:p>
      <w:pPr>
        <w:jc w:val="right"/>
        <w:ind w:right="3999"/>
        <w:spacing w:after="0"/>
        <w:rPr>
          <w:sz w:val="20"/>
          <w:szCs w:val="20"/>
          <w:color w:val="auto"/>
        </w:rPr>
      </w:pPr>
      <w:r>
        <w:rPr>
          <w:rFonts w:ascii="Times New Roman" w:cs="Times New Roman" w:eastAsia="Times New Roman" w:hAnsi="Times New Roman"/>
          <w:sz w:val="18"/>
          <w:szCs w:val="18"/>
          <w:color w:val="auto"/>
        </w:rPr>
        <w:t>Schedule IV-2</w:t>
      </w:r>
    </w:p>
    <w:p>
      <w:pPr>
        <w:sectPr>
          <w:pgSz w:w="11900" w:h="16838" w:orient="portrait"/>
          <w:cols w:equalWidth="0" w:num="1">
            <w:col w:w="10019"/>
          </w:cols>
          <w:pgMar w:left="440" w:top="270" w:right="1440"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PNC BANK,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Purchaser Agent for PNC Bank, National Association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Bank, National Association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PNC Plaza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225 Fifth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Pennsylvania 15222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Brian Stanley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No.: (412) 768-2001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 (412) 762-9184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BANK,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Committed Purchaser for PNC Bank, National Association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Bank, National Association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PNC Plaza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225 Fifth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Pennsylvania 15222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Brian Stanley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No.: (412) 768-2001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 (412) 762-9184</w:t>
      </w:r>
    </w:p>
    <w:p>
      <w:pPr>
        <w:spacing w:after="0" w:line="139" w:lineRule="exact"/>
        <w:rPr>
          <w:sz w:val="20"/>
          <w:szCs w:val="20"/>
          <w:color w:val="auto"/>
        </w:rPr>
      </w:pPr>
    </w:p>
    <w:p>
      <w:pPr>
        <w:jc w:val="right"/>
        <w:ind w:right="3999"/>
        <w:spacing w:after="0"/>
        <w:rPr>
          <w:sz w:val="20"/>
          <w:szCs w:val="20"/>
          <w:color w:val="auto"/>
        </w:rPr>
      </w:pPr>
      <w:r>
        <w:rPr>
          <w:rFonts w:ascii="Times New Roman" w:cs="Times New Roman" w:eastAsia="Times New Roman" w:hAnsi="Times New Roman"/>
          <w:sz w:val="18"/>
          <w:szCs w:val="18"/>
          <w:color w:val="auto"/>
        </w:rPr>
        <w:t>Schedule IV-3</w:t>
      </w:r>
    </w:p>
    <w:p>
      <w:pPr>
        <w:sectPr>
          <w:pgSz w:w="11900" w:h="16838" w:orient="portrait"/>
          <w:cols w:equalWidth="0" w:num="1">
            <w:col w:w="10019"/>
          </w:cols>
          <w:pgMar w:left="440" w:top="270" w:right="1440"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WELLS FARGO BANK,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Committed Purchaser for Wells Fargo Bank, National Association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1100 Abernathy Rd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1500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 30328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Attention: </w:t>
      </w:r>
      <w:r>
        <w:rPr>
          <w:rFonts w:ascii="Times New Roman" w:cs="Times New Roman" w:eastAsia="Times New Roman" w:hAnsi="Times New Roman"/>
          <w:sz w:val="18"/>
          <w:szCs w:val="18"/>
          <w:color w:val="FF0000"/>
          <w:strike w:val="1"/>
        </w:rPr>
        <w:t>Jonathan Davis</w:t>
      </w:r>
      <w:r>
        <w:rPr>
          <w:rFonts w:ascii="Times New Roman" w:cs="Times New Roman" w:eastAsia="Times New Roman" w:hAnsi="Times New Roman"/>
          <w:sz w:val="18"/>
          <w:szCs w:val="18"/>
          <w:u w:val="single" w:color="auto"/>
          <w:color w:val="0000FF"/>
        </w:rPr>
        <w:t>Anthony B. Ballard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No.: (</w:t>
      </w:r>
      <w:r>
        <w:rPr>
          <w:rFonts w:ascii="Times New Roman" w:cs="Times New Roman" w:eastAsia="Times New Roman" w:hAnsi="Times New Roman"/>
          <w:sz w:val="18"/>
          <w:szCs w:val="18"/>
          <w:color w:val="FF0000"/>
          <w:strike w:val="1"/>
        </w:rPr>
        <w:t>770</w:t>
      </w:r>
      <w:r>
        <w:rPr>
          <w:rFonts w:ascii="Times New Roman" w:cs="Times New Roman" w:eastAsia="Times New Roman" w:hAnsi="Times New Roman"/>
          <w:sz w:val="18"/>
          <w:szCs w:val="18"/>
          <w:u w:val="single" w:color="auto"/>
          <w:color w:val="0000FF"/>
        </w:rPr>
        <w:t>704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508-2162</w:t>
      </w:r>
      <w:r>
        <w:rPr>
          <w:rFonts w:ascii="Times New Roman" w:cs="Times New Roman" w:eastAsia="Times New Roman" w:hAnsi="Times New Roman"/>
          <w:sz w:val="18"/>
          <w:szCs w:val="18"/>
          <w:u w:val="single" w:color="auto"/>
          <w:color w:val="0000FF"/>
        </w:rPr>
        <w:t>832-5909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-121920</wp:posOffset>
            </wp:positionV>
            <wp:extent cx="90043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900430" cy="8255"/>
                    </a:xfrm>
                    <a:prstGeom prst="rect">
                      <a:avLst/>
                    </a:prstGeom>
                    <a:noFill/>
                  </pic:spPr>
                </pic:pic>
              </a:graphicData>
            </a:graphic>
          </wp:anchor>
        </w:drawing>
        <w:drawing>
          <wp:anchor simplePos="0" relativeHeight="251657728" behindDoc="1" locked="0" layoutInCell="0" allowOverlap="1">
            <wp:simplePos x="0" y="0"/>
            <wp:positionH relativeFrom="column">
              <wp:posOffset>940435</wp:posOffset>
            </wp:positionH>
            <wp:positionV relativeFrom="paragraph">
              <wp:posOffset>14605</wp:posOffset>
            </wp:positionV>
            <wp:extent cx="17145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14605</wp:posOffset>
            </wp:positionV>
            <wp:extent cx="43688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43688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WELLS FARGO BANK,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as Purchaser Agent for Wells Fargo Bank, National Association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Address: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1100 Abernathy Rd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Suite 1500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Atlanta, Georgia 30328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Attention: Jonathan Davis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Telephone No.: (770) 508-2162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FIFTH THIRD BANK, NATIONAL ASSOCIATION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Committed Purchaser for Fifth Third Bank, National Association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 Fountain Square Plaza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Cincinnati, Ohio 45263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Andrew Jones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No.: (513) 534-0836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 (513) 534-0319</w:t>
      </w:r>
    </w:p>
    <w:p>
      <w:pPr>
        <w:spacing w:after="0" w:line="139" w:lineRule="exact"/>
        <w:rPr>
          <w:sz w:val="20"/>
          <w:szCs w:val="20"/>
          <w:color w:val="auto"/>
        </w:rPr>
      </w:pPr>
    </w:p>
    <w:p>
      <w:pPr>
        <w:jc w:val="right"/>
        <w:ind w:right="3999"/>
        <w:spacing w:after="0"/>
        <w:rPr>
          <w:sz w:val="20"/>
          <w:szCs w:val="20"/>
          <w:color w:val="auto"/>
        </w:rPr>
      </w:pPr>
      <w:r>
        <w:rPr>
          <w:rFonts w:ascii="Times New Roman" w:cs="Times New Roman" w:eastAsia="Times New Roman" w:hAnsi="Times New Roman"/>
          <w:sz w:val="18"/>
          <w:szCs w:val="18"/>
          <w:color w:val="auto"/>
        </w:rPr>
        <w:t>Schedule IV-4</w:t>
      </w:r>
    </w:p>
    <w:p>
      <w:pPr>
        <w:sectPr>
          <w:pgSz w:w="11900" w:h="16838" w:orient="portrait"/>
          <w:cols w:equalWidth="0" w:num="1">
            <w:col w:w="10019"/>
          </w:cols>
          <w:pgMar w:left="440" w:top="270" w:right="1440"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FIFTH THIRD BANK,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Purchaser Agent for Fifth Third Bank, National Association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 Fountain Square Plaza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Cincinnati, Ohio 45263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Attention: </w:t>
      </w:r>
      <w:r>
        <w:rPr>
          <w:rFonts w:ascii="Times New Roman" w:cs="Times New Roman" w:eastAsia="Times New Roman" w:hAnsi="Times New Roman"/>
          <w:sz w:val="18"/>
          <w:szCs w:val="18"/>
          <w:color w:val="FF0000"/>
          <w:strike w:val="1"/>
        </w:rPr>
        <w:t>Kevin Gusweiler</w:t>
      </w:r>
      <w:r>
        <w:rPr>
          <w:rFonts w:ascii="Times New Roman" w:cs="Times New Roman" w:eastAsia="Times New Roman" w:hAnsi="Times New Roman"/>
          <w:sz w:val="18"/>
          <w:szCs w:val="18"/>
          <w:u w:val="single" w:color="auto"/>
          <w:color w:val="0000FF"/>
        </w:rPr>
        <w:t>Matt Glahn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Telephone No.: (513) </w:t>
      </w:r>
      <w:r>
        <w:rPr>
          <w:rFonts w:ascii="Times New Roman" w:cs="Times New Roman" w:eastAsia="Times New Roman" w:hAnsi="Times New Roman"/>
          <w:sz w:val="18"/>
          <w:szCs w:val="18"/>
          <w:color w:val="FF0000"/>
          <w:strike w:val="1"/>
        </w:rPr>
        <w:t>534-0435</w:t>
      </w:r>
      <w:r>
        <w:rPr>
          <w:rFonts w:ascii="Times New Roman" w:cs="Times New Roman" w:eastAsia="Times New Roman" w:hAnsi="Times New Roman"/>
          <w:sz w:val="18"/>
          <w:szCs w:val="18"/>
          <w:u w:val="single" w:color="auto"/>
          <w:color w:val="0000FF"/>
        </w:rPr>
        <w:t>534-4661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1266190</wp:posOffset>
            </wp:positionH>
            <wp:positionV relativeFrom="paragraph">
              <wp:posOffset>-121920</wp:posOffset>
            </wp:positionV>
            <wp:extent cx="52260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Facsimile No.: (513) 534-0319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-121920</wp:posOffset>
            </wp:positionV>
            <wp:extent cx="43751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437515" cy="8255"/>
                    </a:xfrm>
                    <a:prstGeom prst="rect">
                      <a:avLst/>
                    </a:prstGeom>
                    <a:noFill/>
                  </pic:spPr>
                </pic:pic>
              </a:graphicData>
            </a:graphic>
          </wp:anchor>
        </w:drawing>
      </w:r>
    </w:p>
    <w:p>
      <w:pPr>
        <w:spacing w:after="0" w:line="119" w:lineRule="exact"/>
        <w:rPr>
          <w:sz w:val="20"/>
          <w:szCs w:val="20"/>
          <w:color w:val="auto"/>
        </w:rPr>
      </w:pPr>
    </w:p>
    <w:p>
      <w:pPr>
        <w:jc w:val="right"/>
        <w:ind w:right="3999"/>
        <w:spacing w:after="0"/>
        <w:rPr>
          <w:sz w:val="20"/>
          <w:szCs w:val="20"/>
          <w:color w:val="auto"/>
        </w:rPr>
      </w:pPr>
      <w:r>
        <w:rPr>
          <w:rFonts w:ascii="Times New Roman" w:cs="Times New Roman" w:eastAsia="Times New Roman" w:hAnsi="Times New Roman"/>
          <w:sz w:val="18"/>
          <w:szCs w:val="18"/>
          <w:color w:val="auto"/>
        </w:rPr>
        <w:t>Schedule IV-5</w:t>
      </w:r>
    </w:p>
    <w:p>
      <w:pPr>
        <w:sectPr>
          <w:pgSz w:w="11900" w:h="16838" w:orient="portrait"/>
          <w:cols w:equalWidth="0" w:num="1">
            <w:col w:w="10019"/>
          </w:cols>
          <w:pgMar w:left="440" w:top="270" w:right="1440"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LIBERTY STREET FINDING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Conduit Purchaser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Global Securitization Services,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68 South Service Road, Suite 120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Melville, NY 11747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Attn: </w:t>
      </w:r>
      <w:r>
        <w:rPr>
          <w:rFonts w:ascii="Times New Roman" w:cs="Times New Roman" w:eastAsia="Times New Roman" w:hAnsi="Times New Roman"/>
          <w:sz w:val="18"/>
          <w:szCs w:val="18"/>
          <w:color w:val="FF0000"/>
          <w:strike w:val="1"/>
        </w:rPr>
        <w:t>Jill A. Russo,</w:t>
      </w:r>
      <w:r>
        <w:rPr>
          <w:rFonts w:ascii="Times New Roman" w:cs="Times New Roman" w:eastAsia="Times New Roman" w:hAnsi="Times New Roman"/>
          <w:sz w:val="18"/>
          <w:szCs w:val="18"/>
          <w:u w:val="single" w:color="auto"/>
          <w:color w:val="0000FF"/>
        </w:rPr>
        <w:t>Kevin Corrigan, Senior</w:t>
      </w:r>
      <w:r>
        <w:rPr>
          <w:rFonts w:ascii="Times New Roman" w:cs="Times New Roman" w:eastAsia="Times New Roman" w:hAnsi="Times New Roman"/>
          <w:sz w:val="18"/>
          <w:szCs w:val="18"/>
          <w:color w:val="auto"/>
        </w:rPr>
        <w:t xml:space="preserve"> Vice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Office: (631) 587-4700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-121920</wp:posOffset>
            </wp:positionV>
            <wp:extent cx="106299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Mobile: (917) 753-0111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06299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FF0000"/>
          <w:strike w:val="1"/>
        </w:rPr>
        <w:t>Tel: 1-212-295-2742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09728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FF0000"/>
          <w:strike w:val="1"/>
        </w:rPr>
        <w:t>Fax: 1-212-302-8767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THE BANK OF NOVA SCOTIA,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as a Committed Purchaser for Liberty Street Funding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Address: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40 King Street 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66th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Toronto,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Canada M5H1H1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Attn: Doug Noe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Tel: 416-945-4060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Email: doug.noe@scotiabank.com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of Nova Scotia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 Vesey Street, 23rd Floor, New York, NY 10281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Darren Ward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1-212-255-5264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darren.ward@scotiabank.com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OF NOVA SCOTIA,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as Purchaser Agent for </w:t>
      </w:r>
      <w:r>
        <w:rPr>
          <w:rFonts w:ascii="Times New Roman" w:cs="Times New Roman" w:eastAsia="Times New Roman" w:hAnsi="Times New Roman"/>
          <w:sz w:val="17"/>
          <w:szCs w:val="17"/>
          <w:color w:val="FF0000"/>
          <w:strike w:val="1"/>
        </w:rPr>
        <w:t>The Bank of Nova Scotia and</w:t>
      </w:r>
      <w:r>
        <w:rPr>
          <w:rFonts w:ascii="Times New Roman" w:cs="Times New Roman" w:eastAsia="Times New Roman" w:hAnsi="Times New Roman"/>
          <w:sz w:val="17"/>
          <w:szCs w:val="17"/>
          <w:color w:val="auto"/>
        </w:rPr>
        <w:t xml:space="preserve"> Liberty Street Funding LLC </w:t>
      </w:r>
      <w:r>
        <w:rPr>
          <w:rFonts w:ascii="Times New Roman" w:cs="Times New Roman" w:eastAsia="Times New Roman" w:hAnsi="Times New Roman"/>
          <w:sz w:val="17"/>
          <w:szCs w:val="17"/>
          <w:color w:val="0000FF"/>
        </w:rPr>
        <w:t>and Committed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3735070</wp:posOffset>
            </wp:positionH>
            <wp:positionV relativeFrom="paragraph">
              <wp:posOffset>21590</wp:posOffset>
            </wp:positionV>
            <wp:extent cx="121729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17295" cy="8255"/>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-12065</wp:posOffset>
            </wp:positionV>
            <wp:extent cx="121539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15390" cy="889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40 </w:t>
      </w:r>
      <w:r>
        <w:rPr>
          <w:rFonts w:ascii="Times New Roman" w:cs="Times New Roman" w:eastAsia="Times New Roman" w:hAnsi="Times New Roman"/>
          <w:sz w:val="18"/>
          <w:szCs w:val="18"/>
          <w:color w:val="FF0000"/>
          <w:strike w:val="1"/>
        </w:rPr>
        <w:t>King Street 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Temperance St, 4th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66th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908685"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xml:space="preserve">Canada </w:t>
      </w:r>
      <w:r>
        <w:rPr>
          <w:rFonts w:ascii="Times New Roman" w:cs="Times New Roman" w:eastAsia="Times New Roman" w:hAnsi="Times New Roman"/>
          <w:sz w:val="18"/>
          <w:szCs w:val="18"/>
          <w:color w:val="FF0000"/>
          <w:strike w:val="1"/>
        </w:rPr>
        <w:t>M5H1H1</w:t>
      </w:r>
      <w:r>
        <w:rPr>
          <w:rFonts w:ascii="Times New Roman" w:cs="Times New Roman" w:eastAsia="Times New Roman" w:hAnsi="Times New Roman"/>
          <w:sz w:val="18"/>
          <w:szCs w:val="18"/>
          <w:u w:val="single" w:color="auto"/>
          <w:color w:val="0000FF"/>
        </w:rPr>
        <w:t>M5H 0B4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Doug Noe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803275</wp:posOffset>
            </wp:positionH>
            <wp:positionV relativeFrom="paragraph">
              <wp:posOffset>-121920</wp:posOffset>
            </wp:positionV>
            <wp:extent cx="46291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Tel: 416-945-4060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doug.noe@scotiabank.com</w:t>
      </w:r>
    </w:p>
    <w:p>
      <w:pPr>
        <w:spacing w:after="0" w:line="13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Schedule IV-6</w:t>
      </w:r>
    </w:p>
    <w:p>
      <w:pPr>
        <w:sectPr>
          <w:pgSz w:w="11900" w:h="16838" w:orient="portrait"/>
          <w:cols w:equalWidth="0" w:num="1">
            <w:col w:w="10019"/>
          </w:cols>
          <w:pgMar w:left="440" w:top="270" w:right="1440"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a copy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of Nova Scotia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 Vesey Street, 23rd Floor, New York, NY 10281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Darren Ward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1-212-255-5264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darren.ward@scotiabank.com</w:t>
      </w:r>
    </w:p>
    <w:p>
      <w:pPr>
        <w:spacing w:after="0" w:line="139" w:lineRule="exact"/>
        <w:rPr>
          <w:sz w:val="20"/>
          <w:szCs w:val="20"/>
          <w:color w:val="auto"/>
        </w:rPr>
      </w:pPr>
    </w:p>
    <w:p>
      <w:pPr>
        <w:jc w:val="right"/>
        <w:ind w:right="3999"/>
        <w:spacing w:after="0"/>
        <w:rPr>
          <w:sz w:val="20"/>
          <w:szCs w:val="20"/>
          <w:color w:val="auto"/>
        </w:rPr>
      </w:pPr>
      <w:r>
        <w:rPr>
          <w:rFonts w:ascii="Times New Roman" w:cs="Times New Roman" w:eastAsia="Times New Roman" w:hAnsi="Times New Roman"/>
          <w:sz w:val="18"/>
          <w:szCs w:val="18"/>
          <w:color w:val="auto"/>
        </w:rPr>
        <w:t>Schedule IV-7</w:t>
      </w:r>
    </w:p>
    <w:p>
      <w:pPr>
        <w:sectPr>
          <w:pgSz w:w="11900" w:h="16838" w:orient="portrait"/>
          <w:cols w:equalWidth="0" w:num="1">
            <w:col w:w="10019"/>
          </w:cols>
          <w:pgMar w:left="440" w:top="270" w:right="1440"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RELIANT TRUST,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Conduit Purchaser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130 Adelaide Street West</w:t>
      </w:r>
    </w:p>
    <w:p>
      <w:pPr>
        <w:spacing w:after="0" w:line="181" w:lineRule="auto"/>
        <w:rPr>
          <w:sz w:val="20"/>
          <w:szCs w:val="20"/>
          <w:color w:val="auto"/>
        </w:rPr>
      </w:pPr>
      <w:r>
        <w:rPr>
          <w:rFonts w:ascii="Times New Roman" w:cs="Times New Roman" w:eastAsia="Times New Roman" w:hAnsi="Times New Roman"/>
          <w:sz w:val="18"/>
          <w:szCs w:val="18"/>
          <w:color w:val="auto"/>
        </w:rPr>
        <w:t>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 M5H 3P5</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ASG Asset Securitization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No.: (416) 307-6035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GTA FUNDING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as a Conduit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03695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0369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14605</wp:posOffset>
            </wp:positionV>
            <wp:extent cx="105410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Address: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GTA Funding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40259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40259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68 South Service Road, Suite 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88265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Melville, NY 11747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54305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5430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14605</wp:posOffset>
            </wp:positionV>
            <wp:extent cx="91694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With a copy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Email: ConduitFundingUS@tdsecurities.com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0294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029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14605</wp:posOffset>
            </wp:positionV>
            <wp:extent cx="208280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TORONTO-DOMINION BANK,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as </w:t>
      </w:r>
      <w:r>
        <w:rPr>
          <w:rFonts w:ascii="Times New Roman" w:cs="Times New Roman" w:eastAsia="Times New Roman" w:hAnsi="Times New Roman"/>
          <w:sz w:val="17"/>
          <w:szCs w:val="17"/>
          <w:color w:val="FF0000"/>
          <w:strike w:val="1"/>
        </w:rPr>
        <w:t>a Committed Purchaser and</w:t>
      </w:r>
      <w:r>
        <w:rPr>
          <w:rFonts w:ascii="Times New Roman" w:cs="Times New Roman" w:eastAsia="Times New Roman" w:hAnsi="Times New Roman"/>
          <w:sz w:val="17"/>
          <w:szCs w:val="17"/>
          <w:color w:val="auto"/>
        </w:rPr>
        <w:t xml:space="preserve"> Purchaser Agent for </w:t>
      </w:r>
      <w:r>
        <w:rPr>
          <w:rFonts w:ascii="Times New Roman" w:cs="Times New Roman" w:eastAsia="Times New Roman" w:hAnsi="Times New Roman"/>
          <w:sz w:val="17"/>
          <w:szCs w:val="17"/>
          <w:color w:val="FF0000"/>
          <w:strike w:val="1"/>
        </w:rPr>
        <w:t>The Toronto-Dominion Bank</w:t>
      </w:r>
      <w:r>
        <w:rPr>
          <w:rFonts w:ascii="Times New Roman" w:cs="Times New Roman" w:eastAsia="Times New Roman" w:hAnsi="Times New Roman"/>
          <w:sz w:val="17"/>
          <w:szCs w:val="17"/>
          <w:u w:val="single" w:color="auto"/>
          <w:color w:val="0000FF"/>
        </w:rPr>
        <w:t>GTA Funding LLC</w:t>
      </w:r>
      <w:r>
        <w:rPr>
          <w:rFonts w:ascii="Times New Roman" w:cs="Times New Roman" w:eastAsia="Times New Roman" w:hAnsi="Times New Roman"/>
          <w:sz w:val="17"/>
          <w:szCs w:val="17"/>
          <w:color w:val="auto"/>
        </w:rPr>
        <w:t xml:space="preserve"> and Reliant Trust </w:t>
      </w:r>
      <w:r>
        <w:rPr>
          <w:rFonts w:ascii="Times New Roman" w:cs="Times New Roman" w:eastAsia="Times New Roman" w:hAnsi="Times New Roman"/>
          <w:sz w:val="17"/>
          <w:szCs w:val="17"/>
          <w:color w:val="0000FF"/>
        </w:rPr>
        <w:t>and Committed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3700780</wp:posOffset>
            </wp:positionH>
            <wp:positionV relativeFrom="paragraph">
              <wp:posOffset>33020</wp:posOffset>
            </wp:positionV>
            <wp:extent cx="88265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82650" cy="8255"/>
                    </a:xfrm>
                    <a:prstGeom prst="rect">
                      <a:avLst/>
                    </a:prstGeom>
                    <a:noFill/>
                  </pic:spPr>
                </pic:pic>
              </a:graphicData>
            </a:graphic>
          </wp:anchor>
        </w:drawing>
        <w:drawing>
          <wp:anchor simplePos="0" relativeHeight="251657728" behindDoc="1" locked="0" layoutInCell="0" allowOverlap="1">
            <wp:simplePos x="0" y="0"/>
            <wp:positionH relativeFrom="column">
              <wp:posOffset>5398135</wp:posOffset>
            </wp:positionH>
            <wp:positionV relativeFrom="paragraph">
              <wp:posOffset>33020</wp:posOffset>
            </wp:positionV>
            <wp:extent cx="121729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17295" cy="8255"/>
                    </a:xfrm>
                    <a:prstGeom prst="rect">
                      <a:avLst/>
                    </a:prstGeom>
                    <a:noFill/>
                  </pic:spPr>
                </pic:pic>
              </a:graphicData>
            </a:graphic>
          </wp:anchor>
        </w:drawing>
        <w:drawing>
          <wp:anchor simplePos="0" relativeHeight="251657728" behindDoc="1" locked="0" layoutInCell="0" allowOverlap="1">
            <wp:simplePos x="0" y="0"/>
            <wp:positionH relativeFrom="column">
              <wp:posOffset>5398770</wp:posOffset>
            </wp:positionH>
            <wp:positionV relativeFrom="paragraph">
              <wp:posOffset>-635</wp:posOffset>
            </wp:positionV>
            <wp:extent cx="121539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15390"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130 Adelaide Street West</w:t>
      </w:r>
    </w:p>
    <w:p>
      <w:pPr>
        <w:spacing w:after="0" w:line="181" w:lineRule="auto"/>
        <w:rPr>
          <w:sz w:val="20"/>
          <w:szCs w:val="20"/>
          <w:color w:val="auto"/>
        </w:rPr>
      </w:pPr>
      <w:r>
        <w:rPr>
          <w:rFonts w:ascii="Times New Roman" w:cs="Times New Roman" w:eastAsia="Times New Roman" w:hAnsi="Times New Roman"/>
          <w:sz w:val="18"/>
          <w:szCs w:val="18"/>
          <w:color w:val="auto"/>
        </w:rPr>
        <w:t>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 M5H 3P5</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ASG Asset Securitization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No.: (416) 307-6035</w:t>
      </w:r>
    </w:p>
    <w:p>
      <w:pPr>
        <w:spacing w:after="0" w:line="13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Schedule IV-8</w:t>
      </w:r>
    </w:p>
    <w:p>
      <w:pPr>
        <w:sectPr>
          <w:pgSz w:w="11900" w:h="16838" w:orient="portrait"/>
          <w:cols w:equalWidth="0" w:num="1">
            <w:col w:w="10420"/>
          </w:cols>
          <w:pgMar w:left="440" w:top="270" w:right="103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OF AMERICA,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Purchaser Agent for Bank of America, N.A.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NC2-109-02-02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13510 Ballantyne Corporate Place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NC 28277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Willem Van Beek / Chris Hayes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No.: (980) 683-4585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 (704) 409-0588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willem.van_beek@bofa.com / christopher.hayes@bofa.com</w:t>
      </w:r>
    </w:p>
    <w:p>
      <w:pPr>
        <w:spacing w:after="0" w:line="139" w:lineRule="exact"/>
        <w:rPr>
          <w:sz w:val="20"/>
          <w:szCs w:val="20"/>
          <w:color w:val="auto"/>
        </w:rPr>
      </w:pPr>
    </w:p>
    <w:p>
      <w:pPr>
        <w:jc w:val="right"/>
        <w:ind w:right="3999"/>
        <w:spacing w:after="0"/>
        <w:rPr>
          <w:sz w:val="20"/>
          <w:szCs w:val="20"/>
          <w:color w:val="auto"/>
        </w:rPr>
      </w:pPr>
      <w:r>
        <w:rPr>
          <w:rFonts w:ascii="Times New Roman" w:cs="Times New Roman" w:eastAsia="Times New Roman" w:hAnsi="Times New Roman"/>
          <w:sz w:val="18"/>
          <w:szCs w:val="18"/>
          <w:color w:val="auto"/>
        </w:rPr>
        <w:t>Schedule IV-9</w:t>
      </w:r>
    </w:p>
    <w:p>
      <w:pPr>
        <w:sectPr>
          <w:pgSz w:w="11900" w:h="16838" w:orient="portrait"/>
          <w:cols w:equalWidth="0" w:num="1">
            <w:col w:w="10019"/>
          </w:cols>
          <w:pgMar w:left="440" w:top="270" w:right="1440" w:bottom="1440" w:gutter="0" w:footer="0" w:header="0"/>
        </w:sectPr>
      </w:pPr>
    </w:p>
    <w:bookmarkStart w:id="282" w:name="page283"/>
    <w:bookmarkEnd w:id="28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MACRO TRUST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color w:val="FF0000"/>
          <w:strike w:val="1"/>
        </w:rPr>
        <w:t>Committed</w:t>
      </w:r>
      <w:r>
        <w:rPr>
          <w:rFonts w:ascii="Times New Roman" w:cs="Times New Roman" w:eastAsia="Times New Roman" w:hAnsi="Times New Roman"/>
          <w:sz w:val="18"/>
          <w:szCs w:val="18"/>
          <w:u w:val="single" w:color="auto"/>
          <w:color w:val="0000FF"/>
        </w:rPr>
        <w:t>Conduit</w:t>
      </w:r>
      <w:r>
        <w:rPr>
          <w:rFonts w:ascii="Times New Roman" w:cs="Times New Roman" w:eastAsia="Times New Roman" w:hAnsi="Times New Roman"/>
          <w:sz w:val="18"/>
          <w:szCs w:val="18"/>
          <w:color w:val="auto"/>
        </w:rPr>
        <w:t xml:space="preserve">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wp:posOffset>
            </wp:positionV>
            <wp:extent cx="36830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161 Bay Street</w:t>
      </w:r>
    </w:p>
    <w:p>
      <w:pPr>
        <w:ind w:left="4"/>
        <w:spacing w:after="0" w:line="181" w:lineRule="auto"/>
        <w:rPr>
          <w:sz w:val="20"/>
          <w:szCs w:val="20"/>
          <w:color w:val="auto"/>
        </w:rPr>
      </w:pPr>
      <w:r>
        <w:rPr>
          <w:rFonts w:ascii="Times New Roman" w:cs="Times New Roman" w:eastAsia="Times New Roman" w:hAnsi="Times New Roman"/>
          <w:sz w:val="18"/>
          <w:szCs w:val="18"/>
          <w:color w:val="auto"/>
        </w:rPr>
        <w:t>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Toronto, ON M5J 2S8</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Attention: </w:t>
      </w:r>
      <w:r>
        <w:rPr>
          <w:rFonts w:ascii="Times New Roman" w:cs="Times New Roman" w:eastAsia="Times New Roman" w:hAnsi="Times New Roman"/>
          <w:sz w:val="18"/>
          <w:szCs w:val="18"/>
          <w:color w:val="FF0000"/>
          <w:strike w:val="1"/>
        </w:rPr>
        <w:t>Sunil Adalja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CIBC Conduit Management Team, Angela 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1097280</wp:posOffset>
            </wp:positionH>
            <wp:positionV relativeFrom="paragraph">
              <wp:posOffset>14605</wp:posOffset>
            </wp:positionV>
            <wp:extent cx="220281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0000FF"/>
        </w:rPr>
        <w:t>E-Mail: conduit.management@cibc.ca; angela.jchin@cabic.ca; robert.castro@cibc.com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401193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4011930" cy="8255"/>
                    </a:xfrm>
                    <a:prstGeom prst="rect">
                      <a:avLst/>
                    </a:prstGeom>
                    <a:noFill/>
                  </pic:spPr>
                </pic:pic>
              </a:graphicData>
            </a:graphic>
          </wp:anchor>
        </w:drawing>
      </w:r>
    </w:p>
    <w:p>
      <w:pPr>
        <w:spacing w:after="0" w:line="20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0000FF"/>
        </w:rPr>
        <w:t>BAY SQUARE FUNDING LLC,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0000FF"/>
        </w:rPr>
        <w:t>as a Conduit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153416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534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105410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0000FF"/>
        </w:rPr>
        <w:t>Bay Square Funding LLC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0000FF"/>
        </w:rPr>
        <w:t>c/o Global Securitization Services,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1183005"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u w:val="single" w:color="auto"/>
          <w:color w:val="0000FF"/>
        </w:rPr>
        <w:t>68 South Service Road, Suite 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183451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u w:val="single" w:color="auto"/>
          <w:color w:val="0000FF"/>
        </w:rPr>
        <w:t>Melville, NY 11747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154305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u w:val="single" w:color="auto"/>
          <w:color w:val="0000FF"/>
        </w:rPr>
        <w:t>Attention: Kevin J. Corrigan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91694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u w:val="single" w:color="auto"/>
          <w:color w:val="0000FF"/>
        </w:rPr>
        <w:t>Telephone: 212-295-2757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131127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u w:val="single" w:color="auto"/>
          <w:color w:val="0000FF"/>
        </w:rPr>
        <w:t>Facsimile: 2-2-302-8767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118300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u w:val="single" w:color="auto"/>
          <w:color w:val="0000FF"/>
        </w:rPr>
        <w:t>Email: kcorrigan@gssnyc.com; baysquare@gssnyc.com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113157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1315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258000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CANADIAN IMPERIAL BANK OF COMMERCE,</w:t>
      </w:r>
    </w:p>
    <w:p>
      <w:pPr>
        <w:spacing w:after="0" w:line="27" w:lineRule="exact"/>
        <w:rPr>
          <w:sz w:val="20"/>
          <w:szCs w:val="20"/>
          <w:color w:val="auto"/>
        </w:rPr>
      </w:pPr>
    </w:p>
    <w:p>
      <w:pPr>
        <w:ind w:left="4" w:right="3379"/>
        <w:spacing w:after="0" w:line="260" w:lineRule="auto"/>
        <w:rPr>
          <w:sz w:val="20"/>
          <w:szCs w:val="20"/>
          <w:color w:val="auto"/>
        </w:rPr>
      </w:pPr>
      <w:r>
        <w:rPr>
          <w:rFonts w:ascii="Times New Roman" w:cs="Times New Roman" w:eastAsia="Times New Roman" w:hAnsi="Times New Roman"/>
          <w:sz w:val="18"/>
          <w:szCs w:val="18"/>
          <w:color w:val="auto"/>
        </w:rPr>
        <w:t xml:space="preserve">as Purchaser Agent for </w:t>
      </w:r>
      <w:r>
        <w:rPr>
          <w:rFonts w:ascii="Times New Roman" w:cs="Times New Roman" w:eastAsia="Times New Roman" w:hAnsi="Times New Roman"/>
          <w:sz w:val="18"/>
          <w:szCs w:val="18"/>
          <w:color w:val="FF0000"/>
          <w:strike w:val="1"/>
        </w:rPr>
        <w:t>Canadian Imperial Bank of Commerce</w:t>
      </w:r>
      <w:r>
        <w:rPr>
          <w:rFonts w:ascii="Times New Roman" w:cs="Times New Roman" w:eastAsia="Times New Roman" w:hAnsi="Times New Roman"/>
          <w:sz w:val="18"/>
          <w:szCs w:val="18"/>
          <w:u w:val="single" w:color="auto"/>
          <w:color w:val="0000FF"/>
        </w:rPr>
        <w:t>Bay Square Funding LLC</w:t>
      </w:r>
      <w:r>
        <w:rPr>
          <w:rFonts w:ascii="Times New Roman" w:cs="Times New Roman" w:eastAsia="Times New Roman" w:hAnsi="Times New Roman"/>
          <w:sz w:val="18"/>
          <w:szCs w:val="18"/>
          <w:color w:val="auto"/>
        </w:rPr>
        <w:t xml:space="preserve"> and Macro Trust </w:t>
      </w:r>
      <w:r>
        <w:rPr>
          <w:rFonts w:ascii="Times New Roman" w:cs="Times New Roman" w:eastAsia="Times New Roman" w:hAnsi="Times New Roman"/>
          <w:sz w:val="18"/>
          <w:szCs w:val="18"/>
          <w:color w:val="0000FF"/>
        </w:rPr>
        <w:t>and as Committed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-138430</wp:posOffset>
            </wp:positionV>
            <wp:extent cx="118300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-1270</wp:posOffset>
            </wp:positionV>
            <wp:extent cx="133731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337310" cy="8890"/>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-35560</wp:posOffset>
            </wp:positionV>
            <wp:extent cx="133921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spacing w:after="0" w:line="16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jc w:val="both"/>
        <w:ind w:left="4" w:right="8319" w:hanging="4"/>
        <w:spacing w:after="0" w:line="193" w:lineRule="auto"/>
        <w:tabs>
          <w:tab w:leader="none" w:pos="319" w:val="left"/>
        </w:tabs>
        <w:numPr>
          <w:ilvl w:val="0"/>
          <w:numId w:val="314"/>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Lexington Avenue 5</w:t>
      </w:r>
      <w:r>
        <w:rPr>
          <w:rFonts w:ascii="Times New Roman" w:cs="Times New Roman" w:eastAsia="Times New Roman" w:hAnsi="Times New Roman"/>
          <w:sz w:val="26"/>
          <w:szCs w:val="26"/>
          <w:color w:val="FF0000"/>
          <w:strike w:val="1"/>
          <w:vertAlign w:val="superscript"/>
        </w:rPr>
        <w:t>th</w:t>
      </w:r>
      <w:r>
        <w:rPr>
          <w:rFonts w:ascii="Times New Roman" w:cs="Times New Roman" w:eastAsia="Times New Roman" w:hAnsi="Times New Roman"/>
          <w:sz w:val="18"/>
          <w:szCs w:val="18"/>
          <w:color w:val="FF0000"/>
          <w:strike w:val="1"/>
        </w:rPr>
        <w:t xml:space="preserve"> Floor</w:t>
      </w:r>
      <w:r>
        <w:rPr>
          <w:rFonts w:ascii="Times New Roman" w:cs="Times New Roman" w:eastAsia="Times New Roman" w:hAnsi="Times New Roman"/>
          <w:sz w:val="18"/>
          <w:szCs w:val="18"/>
          <w:u w:val="single" w:color="auto"/>
          <w:color w:val="0000FF"/>
          <w:strike w:val="1"/>
        </w:rPr>
        <w:t>161 Bay Street</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9</w:t>
      </w:r>
      <w:r>
        <w:rPr>
          <w:rFonts w:ascii="Times New Roman" w:cs="Times New Roman" w:eastAsia="Times New Roman" w:hAnsi="Times New Roman"/>
          <w:sz w:val="26"/>
          <w:szCs w:val="26"/>
          <w:u w:val="single" w:color="auto"/>
          <w:color w:val="0000FF"/>
          <w:strike w:val="1"/>
          <w:vertAlign w:val="superscript"/>
        </w:rPr>
        <w:t>th</w:t>
      </w:r>
      <w:r>
        <w:rPr>
          <w:rFonts w:ascii="Times New Roman" w:cs="Times New Roman" w:eastAsia="Times New Roman" w:hAnsi="Times New Roman"/>
          <w:sz w:val="18"/>
          <w:szCs w:val="18"/>
          <w:u w:val="single" w:color="auto"/>
          <w:color w:val="0000FF"/>
          <w:strike w:val="1"/>
        </w:rPr>
        <w:t xml:space="preserve"> Floor</w:t>
      </w:r>
    </w:p>
    <w:p>
      <w:pPr>
        <w:spacing w:after="0" w:line="2" w:lineRule="exact"/>
        <w:rPr>
          <w:rFonts w:ascii="Times New Roman" w:cs="Times New Roman" w:eastAsia="Times New Roman" w:hAnsi="Times New Roman"/>
          <w:sz w:val="18"/>
          <w:szCs w:val="18"/>
          <w:color w:val="FF0000"/>
          <w:strike w:val="1"/>
        </w:rPr>
      </w:pPr>
    </w:p>
    <w:p>
      <w:pPr>
        <w:ind w:left="4"/>
        <w:spacing w:after="0"/>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u w:val="single" w:color="auto"/>
          <w:color w:val="0000FF"/>
        </w:rPr>
        <w:t>Toronto, ON M5J 2S8</w:t>
      </w:r>
    </w:p>
    <w:p>
      <w:pPr>
        <w:spacing w:after="0" w:line="7" w:lineRule="exact"/>
        <w:rPr>
          <w:rFonts w:ascii="Times New Roman" w:cs="Times New Roman" w:eastAsia="Times New Roman" w:hAnsi="Times New Roman"/>
          <w:sz w:val="18"/>
          <w:szCs w:val="18"/>
          <w:color w:val="FF0000"/>
          <w:strike w:val="1"/>
        </w:rPr>
      </w:pPr>
    </w:p>
    <w:p>
      <w:pPr>
        <w:ind w:left="4" w:right="5779"/>
        <w:spacing w:after="0" w:line="260" w:lineRule="auto"/>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u w:val="single" w:color="auto"/>
          <w:color w:val="0000FF"/>
        </w:rPr>
        <w:t xml:space="preserve">Attention: CIBC Conduit Management Team, Angela Chin </w:t>
      </w:r>
      <w:r>
        <w:rPr>
          <w:rFonts w:ascii="Times New Roman" w:cs="Times New Roman" w:eastAsia="Times New Roman" w:hAnsi="Times New Roman"/>
          <w:sz w:val="18"/>
          <w:szCs w:val="18"/>
          <w:color w:val="FF0000"/>
          <w:strike w:val="1"/>
        </w:rPr>
        <w:t>New York, NY, 10017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-549910</wp:posOffset>
            </wp:positionV>
            <wp:extent cx="67691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7691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-412750</wp:posOffset>
            </wp:positionV>
            <wp:extent cx="40259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4025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-275590</wp:posOffset>
            </wp:positionV>
            <wp:extent cx="101981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0198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-138430</wp:posOffset>
            </wp:positionV>
            <wp:extent cx="270002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16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FF0000"/>
          <w:strike w:val="1"/>
        </w:rPr>
        <w:t>Attention: Robert Castro</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0000FF"/>
        </w:rPr>
        <w:t>E-Mail: conduit.management@cibc.ca; angela.jchin@cabic.ca; robert.castro@cibc.com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401193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4011930" cy="8890"/>
                    </a:xfrm>
                    <a:prstGeom prst="rect">
                      <a:avLst/>
                    </a:prstGeom>
                    <a:noFill/>
                  </pic:spPr>
                </pic:pic>
              </a:graphicData>
            </a:graphic>
          </wp:anchor>
        </w:drawing>
      </w:r>
    </w:p>
    <w:p>
      <w:pPr>
        <w:spacing w:after="0" w:line="138"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18"/>
          <w:szCs w:val="18"/>
          <w:color w:val="auto"/>
        </w:rPr>
        <w:t>Schedule IV-10</w:t>
      </w:r>
    </w:p>
    <w:p>
      <w:pPr>
        <w:sectPr>
          <w:pgSz w:w="11900" w:h="16838" w:orient="portrait"/>
          <w:cols w:equalWidth="0" w:num="1">
            <w:col w:w="10023"/>
          </w:cols>
          <w:pgMar w:left="436" w:top="270" w:right="1440"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HSBC SECURITIES USA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Purchaser Agent for HSBC Bank USA, National Association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452 Fifth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Nicholas Walach</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HSBC BANK USA,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Committed Purchaser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452 Fifth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Sean Moskal</w:t>
      </w:r>
    </w:p>
    <w:p>
      <w:pPr>
        <w:spacing w:after="0" w:line="139" w:lineRule="exact"/>
        <w:rPr>
          <w:sz w:val="20"/>
          <w:szCs w:val="20"/>
          <w:color w:val="auto"/>
        </w:rPr>
      </w:pPr>
    </w:p>
    <w:p>
      <w:pPr>
        <w:jc w:val="right"/>
        <w:ind w:right="3959"/>
        <w:spacing w:after="0"/>
        <w:rPr>
          <w:sz w:val="20"/>
          <w:szCs w:val="20"/>
          <w:color w:val="auto"/>
        </w:rPr>
      </w:pPr>
      <w:r>
        <w:rPr>
          <w:rFonts w:ascii="Times New Roman" w:cs="Times New Roman" w:eastAsia="Times New Roman" w:hAnsi="Times New Roman"/>
          <w:sz w:val="18"/>
          <w:szCs w:val="18"/>
          <w:color w:val="auto"/>
        </w:rPr>
        <w:t>Schedule IV-11</w:t>
      </w:r>
    </w:p>
    <w:p>
      <w:pPr>
        <w:sectPr>
          <w:pgSz w:w="11900" w:h="16838" w:orient="portrait"/>
          <w:cols w:equalWidth="0" w:num="1">
            <w:col w:w="10019"/>
          </w:cols>
          <w:pgMar w:left="440" w:top="270" w:right="1440" w:bottom="1440" w:gutter="0" w:footer="0" w:header="0"/>
        </w:sectPr>
      </w:pPr>
    </w:p>
    <w:bookmarkStart w:id="284" w:name="page285"/>
    <w:bookmarkEnd w:id="284"/>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V</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SUBJECT ANIXTER FILING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Debtor</w:t>
            </w:r>
          </w:p>
        </w:tc>
        <w:tc>
          <w:tcPr>
            <w:tcW w:w="1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Secured Party</w:t>
            </w:r>
          </w:p>
        </w:tc>
        <w:tc>
          <w:tcPr>
            <w:tcW w:w="700" w:type="dxa"/>
            <w:vAlign w:val="bottom"/>
          </w:tcPr>
          <w:p>
            <w:pPr>
              <w:spacing w:after="0"/>
              <w:rPr>
                <w:sz w:val="16"/>
                <w:szCs w:val="16"/>
                <w:color w:val="auto"/>
              </w:rPr>
            </w:pPr>
          </w:p>
        </w:tc>
        <w:tc>
          <w:tcPr>
            <w:tcW w:w="29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Filing Location</w:t>
            </w:r>
          </w:p>
        </w:tc>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Filing Data</w:t>
            </w:r>
          </w:p>
        </w:tc>
      </w:tr>
      <w:tr>
        <w:trPr>
          <w:trHeight w:val="228"/>
        </w:trPr>
        <w:tc>
          <w:tcPr>
            <w:tcW w:w="2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Anixter Inc.</w:t>
            </w:r>
          </w:p>
        </w:tc>
        <w:tc>
          <w:tcPr>
            <w:tcW w:w="160" w:type="dxa"/>
            <w:vAlign w:val="bottom"/>
          </w:tcPr>
          <w:p>
            <w:pPr>
              <w:spacing w:after="0"/>
              <w:rPr>
                <w:sz w:val="19"/>
                <w:szCs w:val="19"/>
                <w:color w:val="auto"/>
              </w:rPr>
            </w:pPr>
          </w:p>
        </w:tc>
        <w:tc>
          <w:tcPr>
            <w:tcW w:w="1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Aten Technology, Inc.</w:t>
            </w: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 Department of State</w:t>
            </w:r>
          </w:p>
        </w:tc>
        <w:tc>
          <w:tcPr>
            <w:tcW w:w="100" w:type="dxa"/>
            <w:vAlign w:val="bottom"/>
          </w:tcPr>
          <w:p>
            <w:pPr>
              <w:spacing w:after="0"/>
              <w:rPr>
                <w:sz w:val="19"/>
                <w:szCs w:val="19"/>
                <w:color w:val="auto"/>
              </w:rPr>
            </w:pPr>
          </w:p>
        </w:tc>
        <w:tc>
          <w:tcPr>
            <w:tcW w:w="2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Initial Filing # 2017 0655235</w:t>
            </w:r>
          </w:p>
        </w:tc>
      </w:tr>
      <w:tr>
        <w:trPr>
          <w:trHeight w:val="346"/>
        </w:trPr>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68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Schedule V-1</w:t>
            </w:r>
          </w:p>
        </w:tc>
        <w:tc>
          <w:tcPr>
            <w:tcW w:w="264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285" w:name="page286"/>
    <w:bookmarkEnd w:id="285"/>
    <w:p>
      <w:pPr>
        <w:jc w:val="center"/>
        <w:ind w:righ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VI</w:t>
      </w:r>
    </w:p>
    <w:p>
      <w:pPr>
        <w:spacing w:after="0" w:line="225" w:lineRule="exact"/>
        <w:rPr>
          <w:sz w:val="20"/>
          <w:szCs w:val="20"/>
          <w:color w:val="auto"/>
        </w:rPr>
      </w:pPr>
    </w:p>
    <w:p>
      <w:pPr>
        <w:jc w:val="right"/>
        <w:ind w:right="3839"/>
        <w:spacing w:after="0"/>
        <w:rPr>
          <w:sz w:val="20"/>
          <w:szCs w:val="20"/>
          <w:color w:val="auto"/>
        </w:rPr>
      </w:pPr>
      <w:r>
        <w:rPr>
          <w:rFonts w:ascii="Times New Roman" w:cs="Times New Roman" w:eastAsia="Times New Roman" w:hAnsi="Times New Roman"/>
          <w:sz w:val="18"/>
          <w:szCs w:val="18"/>
          <w:color w:val="auto"/>
        </w:rPr>
        <w:t>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BANK,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Committed Purchaser for PNC Bank, National Association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 $</w:t>
      </w:r>
      <w:r>
        <w:rPr>
          <w:rFonts w:ascii="Times New Roman" w:cs="Times New Roman" w:eastAsia="Times New Roman" w:hAnsi="Times New Roman"/>
          <w:sz w:val="18"/>
          <w:szCs w:val="18"/>
          <w:color w:val="FF0000"/>
          <w:strike w:val="1"/>
        </w:rPr>
        <w:t>350,333,334</w:t>
      </w:r>
      <w:r>
        <w:rPr>
          <w:rFonts w:ascii="Times New Roman" w:cs="Times New Roman" w:eastAsia="Times New Roman" w:hAnsi="Times New Roman"/>
          <w:sz w:val="18"/>
          <w:szCs w:val="18"/>
          <w:u w:val="single" w:color="auto"/>
          <w:color w:val="0000FF"/>
        </w:rPr>
        <w:t>350,000,000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26035</wp:posOffset>
            </wp:positionV>
            <wp:extent cx="56578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FIFTH THIRD BANK,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Committed Purchaser for Fifth Third Bank, National Association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 $</w:t>
      </w:r>
      <w:r>
        <w:rPr>
          <w:rFonts w:ascii="Times New Roman" w:cs="Times New Roman" w:eastAsia="Times New Roman" w:hAnsi="Times New Roman"/>
          <w:sz w:val="18"/>
          <w:szCs w:val="18"/>
          <w:color w:val="FF0000"/>
          <w:strike w:val="1"/>
        </w:rPr>
        <w:t>235,000,000</w:t>
      </w:r>
      <w:r>
        <w:rPr>
          <w:rFonts w:ascii="Times New Roman" w:cs="Times New Roman" w:eastAsia="Times New Roman" w:hAnsi="Times New Roman"/>
          <w:sz w:val="18"/>
          <w:szCs w:val="18"/>
          <w:u w:val="single" w:color="auto"/>
          <w:color w:val="0000FF"/>
        </w:rPr>
        <w:t>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26035</wp:posOffset>
            </wp:positionV>
            <wp:extent cx="56578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Committed Purchaser for Wells Fargo Bank, National Association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 $</w:t>
      </w:r>
      <w:r>
        <w:rPr>
          <w:rFonts w:ascii="Times New Roman" w:cs="Times New Roman" w:eastAsia="Times New Roman" w:hAnsi="Times New Roman"/>
          <w:sz w:val="18"/>
          <w:szCs w:val="18"/>
          <w:color w:val="FF0000"/>
          <w:strike w:val="1"/>
        </w:rPr>
        <w:t>242,000,000</w:t>
      </w:r>
      <w:r>
        <w:rPr>
          <w:rFonts w:ascii="Times New Roman" w:cs="Times New Roman" w:eastAsia="Times New Roman" w:hAnsi="Times New Roman"/>
          <w:sz w:val="18"/>
          <w:szCs w:val="18"/>
          <w:u w:val="single" w:color="auto"/>
          <w:color w:val="0000FF"/>
        </w:rPr>
        <w:t>235,000,000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26035</wp:posOffset>
            </wp:positionV>
            <wp:extent cx="56578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OF NOVA SCOTIA,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 a Committed Purchaser </w:t>
      </w:r>
      <w:r>
        <w:rPr>
          <w:rFonts w:ascii="Times New Roman" w:cs="Times New Roman" w:eastAsia="Times New Roman" w:hAnsi="Times New Roman"/>
          <w:sz w:val="18"/>
          <w:szCs w:val="18"/>
          <w:color w:val="FF0000"/>
          <w:strike w:val="1"/>
        </w:rPr>
        <w:t>for Liberty Street Funding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 $</w:t>
      </w:r>
      <w:r>
        <w:rPr>
          <w:rFonts w:ascii="Times New Roman" w:cs="Times New Roman" w:eastAsia="Times New Roman" w:hAnsi="Times New Roman"/>
          <w:sz w:val="18"/>
          <w:szCs w:val="18"/>
          <w:color w:val="FF0000"/>
          <w:strike w:val="1"/>
        </w:rPr>
        <w:t>225,333,333</w:t>
      </w:r>
      <w:r>
        <w:rPr>
          <w:rFonts w:ascii="Times New Roman" w:cs="Times New Roman" w:eastAsia="Times New Roman" w:hAnsi="Times New Roman"/>
          <w:sz w:val="18"/>
          <w:szCs w:val="18"/>
          <w:u w:val="single" w:color="auto"/>
          <w:color w:val="0000FF"/>
        </w:rPr>
        <w:t>190,000,000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26035</wp:posOffset>
            </wp:positionV>
            <wp:extent cx="56578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205" w:lineRule="exact"/>
        <w:rPr>
          <w:sz w:val="20"/>
          <w:szCs w:val="20"/>
          <w:color w:val="auto"/>
        </w:rPr>
      </w:pPr>
    </w:p>
    <w:p>
      <w:pPr>
        <w:ind w:right="4399"/>
        <w:spacing w:after="0" w:line="282" w:lineRule="auto"/>
        <w:rPr>
          <w:sz w:val="20"/>
          <w:szCs w:val="20"/>
          <w:color w:val="auto"/>
        </w:rPr>
      </w:pPr>
      <w:r>
        <w:rPr>
          <w:rFonts w:ascii="Times New Roman" w:cs="Times New Roman" w:eastAsia="Times New Roman" w:hAnsi="Times New Roman"/>
          <w:sz w:val="18"/>
          <w:szCs w:val="18"/>
          <w:color w:val="FF0000"/>
          <w:strike w:val="1"/>
        </w:rPr>
        <w:t>THE TORONTO-DOMINION BANK</w:t>
      </w:r>
      <w:r>
        <w:rPr>
          <w:rFonts w:ascii="Times New Roman" w:cs="Times New Roman" w:eastAsia="Times New Roman" w:hAnsi="Times New Roman"/>
          <w:sz w:val="18"/>
          <w:szCs w:val="18"/>
          <w:u w:val="single" w:color="auto"/>
          <w:color w:val="0000FF"/>
        </w:rPr>
        <w:t>THE TORONTO-DOMINION BANK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as a Committed Purchaser </w:t>
      </w:r>
      <w:r>
        <w:rPr>
          <w:rFonts w:ascii="Times New Roman" w:cs="Times New Roman" w:eastAsia="Times New Roman" w:hAnsi="Times New Roman"/>
          <w:sz w:val="18"/>
          <w:szCs w:val="18"/>
          <w:color w:val="FF0000"/>
        </w:rPr>
        <w:t>for Reliant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-151130</wp:posOffset>
            </wp:positionV>
            <wp:extent cx="177419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774190" cy="8890"/>
                    </a:xfrm>
                    <a:prstGeom prst="rect">
                      <a:avLst/>
                    </a:prstGeom>
                    <a:noFill/>
                  </pic:spPr>
                </pic:pic>
              </a:graphicData>
            </a:graphic>
          </wp:anchor>
        </w:drawing>
        <w:drawing>
          <wp:anchor simplePos="0" relativeHeight="251657728" behindDoc="1" locked="0" layoutInCell="0" allowOverlap="1">
            <wp:simplePos x="0" y="0"/>
            <wp:positionH relativeFrom="column">
              <wp:posOffset>1193800</wp:posOffset>
            </wp:positionH>
            <wp:positionV relativeFrom="paragraph">
              <wp:posOffset>-99695</wp:posOffset>
            </wp:positionV>
            <wp:extent cx="78613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86130" cy="825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 $</w:t>
      </w:r>
      <w:r>
        <w:rPr>
          <w:rFonts w:ascii="Times New Roman" w:cs="Times New Roman" w:eastAsia="Times New Roman" w:hAnsi="Times New Roman"/>
          <w:sz w:val="18"/>
          <w:szCs w:val="18"/>
          <w:color w:val="FF0000"/>
          <w:strike w:val="1"/>
        </w:rPr>
        <w:t>225,333,333</w:t>
      </w:r>
      <w:r>
        <w:rPr>
          <w:rFonts w:ascii="Times New Roman" w:cs="Times New Roman" w:eastAsia="Times New Roman" w:hAnsi="Times New Roman"/>
          <w:sz w:val="18"/>
          <w:szCs w:val="18"/>
          <w:u w:val="single" w:color="auto"/>
          <w:color w:val="0000FF"/>
        </w:rPr>
        <w:t>190,000,000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26035</wp:posOffset>
            </wp:positionV>
            <wp:extent cx="56578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CANADIAN IMPERIAL BANK OF COMMERCE,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Committed Purchaser for Canadian Imperial Bank of Commerce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 $</w:t>
      </w:r>
      <w:r>
        <w:rPr>
          <w:rFonts w:ascii="Times New Roman" w:cs="Times New Roman" w:eastAsia="Times New Roman" w:hAnsi="Times New Roman"/>
          <w:sz w:val="18"/>
          <w:szCs w:val="18"/>
          <w:color w:val="FF0000"/>
          <w:strike w:val="1"/>
        </w:rPr>
        <w:t>142,000,000</w:t>
      </w:r>
      <w:r>
        <w:rPr>
          <w:rFonts w:ascii="Times New Roman" w:cs="Times New Roman" w:eastAsia="Times New Roman" w:hAnsi="Times New Roman"/>
          <w:sz w:val="18"/>
          <w:szCs w:val="18"/>
          <w:u w:val="single" w:color="auto"/>
          <w:color w:val="0000FF"/>
        </w:rPr>
        <w:t>120,000,000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26035</wp:posOffset>
            </wp:positionV>
            <wp:extent cx="56578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AMERICA,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Committed Purchaser for Bank of America, National Association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 $</w:t>
      </w:r>
      <w:r>
        <w:rPr>
          <w:rFonts w:ascii="Times New Roman" w:cs="Times New Roman" w:eastAsia="Times New Roman" w:hAnsi="Times New Roman"/>
          <w:sz w:val="18"/>
          <w:szCs w:val="18"/>
          <w:color w:val="FF0000"/>
          <w:strike w:val="1"/>
        </w:rPr>
        <w:t>140,000,000</w:t>
      </w:r>
      <w:r>
        <w:rPr>
          <w:rFonts w:ascii="Times New Roman" w:cs="Times New Roman" w:eastAsia="Times New Roman" w:hAnsi="Times New Roman"/>
          <w:sz w:val="18"/>
          <w:szCs w:val="18"/>
          <w:u w:val="single" w:color="auto"/>
          <w:color w:val="0000FF"/>
        </w:rPr>
        <w:t>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26035</wp:posOffset>
            </wp:positionV>
            <wp:extent cx="565785"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13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Schedule VI-1</w:t>
      </w:r>
    </w:p>
    <w:p>
      <w:pPr>
        <w:sectPr>
          <w:pgSz w:w="11900" w:h="16838" w:orient="portrait"/>
          <w:cols w:equalWidth="0" w:num="1">
            <w:col w:w="10019"/>
          </w:cols>
          <w:pgMar w:left="440" w:top="270" w:right="1440"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HSBC BANK USA,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Committed Purchaser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 $65,000,000</w:t>
      </w:r>
    </w:p>
    <w:p>
      <w:pPr>
        <w:spacing w:after="0" w:line="158" w:lineRule="exact"/>
        <w:rPr>
          <w:sz w:val="20"/>
          <w:szCs w:val="20"/>
          <w:color w:val="auto"/>
        </w:rPr>
      </w:pPr>
    </w:p>
    <w:p>
      <w:pPr>
        <w:jc w:val="right"/>
        <w:ind w:right="3999"/>
        <w:spacing w:after="0"/>
        <w:rPr>
          <w:sz w:val="20"/>
          <w:szCs w:val="20"/>
          <w:color w:val="auto"/>
        </w:rPr>
      </w:pPr>
      <w:r>
        <w:rPr>
          <w:rFonts w:ascii="Times New Roman" w:cs="Times New Roman" w:eastAsia="Times New Roman" w:hAnsi="Times New Roman"/>
          <w:sz w:val="18"/>
          <w:szCs w:val="18"/>
          <w:color w:val="auto"/>
        </w:rPr>
        <w:t>Schedule VI-2</w:t>
      </w:r>
    </w:p>
    <w:p>
      <w:pPr>
        <w:sectPr>
          <w:pgSz w:w="11900" w:h="16838" w:orient="portrait"/>
          <w:cols w:equalWidth="0" w:num="1">
            <w:col w:w="10019"/>
          </w:cols>
          <w:pgMar w:left="440" w:top="270" w:right="1440" w:bottom="1440" w:gutter="0" w:footer="0" w:header="0"/>
        </w:sectPr>
      </w:pPr>
    </w:p>
    <w:bookmarkStart w:id="287" w:name="page288"/>
    <w:bookmarkEnd w:id="287"/>
    <w:p>
      <w:pPr>
        <w:jc w:val="center"/>
        <w:ind w:right="-10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VII</w:t>
      </w:r>
    </w:p>
    <w:p>
      <w:pPr>
        <w:spacing w:after="0" w:line="225" w:lineRule="exact"/>
        <w:rPr>
          <w:sz w:val="20"/>
          <w:szCs w:val="20"/>
          <w:color w:val="auto"/>
        </w:rPr>
      </w:pPr>
    </w:p>
    <w:p>
      <w:pPr>
        <w:jc w:val="right"/>
        <w:ind w:right="2439"/>
        <w:spacing w:after="0"/>
        <w:rPr>
          <w:sz w:val="20"/>
          <w:szCs w:val="20"/>
          <w:color w:val="auto"/>
        </w:rPr>
      </w:pPr>
      <w:r>
        <w:rPr>
          <w:rFonts w:ascii="Times New Roman" w:cs="Times New Roman" w:eastAsia="Times New Roman" w:hAnsi="Times New Roman"/>
          <w:sz w:val="18"/>
          <w:szCs w:val="18"/>
          <w:color w:val="auto"/>
        </w:rPr>
        <w:t>SCHEDULED COMMITMENT TERMINATION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BANK,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Committed Purchaser for PNC Bank, National Association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Scheduled Commitment Termination Date: March 1, </w:t>
      </w:r>
      <w:r>
        <w:rPr>
          <w:rFonts w:ascii="Times New Roman" w:cs="Times New Roman" w:eastAsia="Times New Roman" w:hAnsi="Times New Roman"/>
          <w:sz w:val="18"/>
          <w:szCs w:val="18"/>
          <w:color w:val="FF0000"/>
          <w:strike w:val="1"/>
        </w:rPr>
        <w:t>2025</w:t>
      </w:r>
      <w:r>
        <w:rPr>
          <w:rFonts w:ascii="Times New Roman" w:cs="Times New Roman" w:eastAsia="Times New Roman" w:hAnsi="Times New Roman"/>
          <w:sz w:val="18"/>
          <w:szCs w:val="18"/>
          <w:u w:val="single" w:color="auto"/>
          <w:color w:val="0000FF"/>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26035</wp:posOffset>
            </wp:positionV>
            <wp:extent cx="23114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23114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FIFTH THIRD BANK,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Committed Purchaser for Fifth Third Bank, National Association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Scheduled Commitment Termination Date: March 1, </w:t>
      </w:r>
      <w:r>
        <w:rPr>
          <w:rFonts w:ascii="Times New Roman" w:cs="Times New Roman" w:eastAsia="Times New Roman" w:hAnsi="Times New Roman"/>
          <w:sz w:val="18"/>
          <w:szCs w:val="18"/>
          <w:color w:val="FF0000"/>
          <w:strike w:val="1"/>
        </w:rPr>
        <w:t>2025</w:t>
      </w:r>
      <w:r>
        <w:rPr>
          <w:rFonts w:ascii="Times New Roman" w:cs="Times New Roman" w:eastAsia="Times New Roman" w:hAnsi="Times New Roman"/>
          <w:sz w:val="18"/>
          <w:szCs w:val="18"/>
          <w:u w:val="single" w:color="auto"/>
          <w:color w:val="0000FF"/>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26035</wp:posOffset>
            </wp:positionV>
            <wp:extent cx="23114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23114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Committed Purchaser for Wells Fargo Bank, National Association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Scheduled Commitment Termination Date: March 1, </w:t>
      </w:r>
      <w:r>
        <w:rPr>
          <w:rFonts w:ascii="Times New Roman" w:cs="Times New Roman" w:eastAsia="Times New Roman" w:hAnsi="Times New Roman"/>
          <w:sz w:val="18"/>
          <w:szCs w:val="18"/>
          <w:color w:val="FF0000"/>
          <w:strike w:val="1"/>
        </w:rPr>
        <w:t>2025</w:t>
      </w:r>
      <w:r>
        <w:rPr>
          <w:rFonts w:ascii="Times New Roman" w:cs="Times New Roman" w:eastAsia="Times New Roman" w:hAnsi="Times New Roman"/>
          <w:sz w:val="18"/>
          <w:szCs w:val="18"/>
          <w:u w:val="single" w:color="auto"/>
          <w:color w:val="0000FF"/>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26035</wp:posOffset>
            </wp:positionV>
            <wp:extent cx="23114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23114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OF NOVA SCOTIA,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 a Committed Purchaser </w:t>
      </w:r>
      <w:r>
        <w:rPr>
          <w:rFonts w:ascii="Times New Roman" w:cs="Times New Roman" w:eastAsia="Times New Roman" w:hAnsi="Times New Roman"/>
          <w:sz w:val="18"/>
          <w:szCs w:val="18"/>
          <w:color w:val="FF0000"/>
          <w:strike w:val="1"/>
        </w:rPr>
        <w:t>for Liberty Street Funding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Scheduled Commitment Termination Date: March 1, </w:t>
      </w:r>
      <w:r>
        <w:rPr>
          <w:rFonts w:ascii="Times New Roman" w:cs="Times New Roman" w:eastAsia="Times New Roman" w:hAnsi="Times New Roman"/>
          <w:sz w:val="18"/>
          <w:szCs w:val="18"/>
          <w:color w:val="FF0000"/>
          <w:strike w:val="1"/>
        </w:rPr>
        <w:t>2025</w:t>
      </w:r>
      <w:r>
        <w:rPr>
          <w:rFonts w:ascii="Times New Roman" w:cs="Times New Roman" w:eastAsia="Times New Roman" w:hAnsi="Times New Roman"/>
          <w:sz w:val="18"/>
          <w:szCs w:val="18"/>
          <w:u w:val="single" w:color="auto"/>
          <w:color w:val="0000FF"/>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26035</wp:posOffset>
            </wp:positionV>
            <wp:extent cx="23114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31140" cy="8255"/>
                    </a:xfrm>
                    <a:prstGeom prst="rect">
                      <a:avLst/>
                    </a:prstGeom>
                    <a:noFill/>
                  </pic:spPr>
                </pic:pic>
              </a:graphicData>
            </a:graphic>
          </wp:anchor>
        </w:drawing>
      </w:r>
    </w:p>
    <w:p>
      <w:pPr>
        <w:spacing w:after="0" w:line="205" w:lineRule="exact"/>
        <w:rPr>
          <w:sz w:val="20"/>
          <w:szCs w:val="20"/>
          <w:color w:val="auto"/>
        </w:rPr>
      </w:pPr>
    </w:p>
    <w:p>
      <w:pPr>
        <w:ind w:right="4399"/>
        <w:spacing w:after="0" w:line="282" w:lineRule="auto"/>
        <w:rPr>
          <w:sz w:val="20"/>
          <w:szCs w:val="20"/>
          <w:color w:val="auto"/>
        </w:rPr>
      </w:pPr>
      <w:r>
        <w:rPr>
          <w:rFonts w:ascii="Times New Roman" w:cs="Times New Roman" w:eastAsia="Times New Roman" w:hAnsi="Times New Roman"/>
          <w:sz w:val="18"/>
          <w:szCs w:val="18"/>
          <w:color w:val="FF0000"/>
          <w:strike w:val="1"/>
        </w:rPr>
        <w:t>THE TORONTO-DOMINION BANK</w:t>
      </w:r>
      <w:r>
        <w:rPr>
          <w:rFonts w:ascii="Times New Roman" w:cs="Times New Roman" w:eastAsia="Times New Roman" w:hAnsi="Times New Roman"/>
          <w:sz w:val="18"/>
          <w:szCs w:val="18"/>
          <w:u w:val="single" w:color="auto"/>
          <w:color w:val="0000FF"/>
        </w:rPr>
        <w:t>THE TORONTO-DOMINION BANK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as a Committed Purchaser </w:t>
      </w:r>
      <w:r>
        <w:rPr>
          <w:rFonts w:ascii="Times New Roman" w:cs="Times New Roman" w:eastAsia="Times New Roman" w:hAnsi="Times New Roman"/>
          <w:sz w:val="18"/>
          <w:szCs w:val="18"/>
          <w:color w:val="FF0000"/>
          <w:strike w:val="1"/>
        </w:rPr>
        <w:t>for Reliant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-151130</wp:posOffset>
            </wp:positionV>
            <wp:extent cx="177419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Scheduled Commitment Termination Date: March 1, </w:t>
      </w:r>
      <w:r>
        <w:rPr>
          <w:rFonts w:ascii="Times New Roman" w:cs="Times New Roman" w:eastAsia="Times New Roman" w:hAnsi="Times New Roman"/>
          <w:sz w:val="18"/>
          <w:szCs w:val="18"/>
          <w:color w:val="FF0000"/>
          <w:strike w:val="1"/>
        </w:rPr>
        <w:t>2025</w:t>
      </w:r>
      <w:r>
        <w:rPr>
          <w:rFonts w:ascii="Times New Roman" w:cs="Times New Roman" w:eastAsia="Times New Roman" w:hAnsi="Times New Roman"/>
          <w:sz w:val="18"/>
          <w:szCs w:val="18"/>
          <w:u w:val="single" w:color="auto"/>
          <w:color w:val="0000FF"/>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26035</wp:posOffset>
            </wp:positionV>
            <wp:extent cx="23114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3114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AMERICA,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Committed Purchaser for Bank of America, National Association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Scheduled Commitment Termination Date: March 1, </w:t>
      </w:r>
      <w:r>
        <w:rPr>
          <w:rFonts w:ascii="Times New Roman" w:cs="Times New Roman" w:eastAsia="Times New Roman" w:hAnsi="Times New Roman"/>
          <w:sz w:val="18"/>
          <w:szCs w:val="18"/>
          <w:color w:val="FF0000"/>
          <w:strike w:val="1"/>
        </w:rPr>
        <w:t>2025</w:t>
      </w:r>
      <w:r>
        <w:rPr>
          <w:rFonts w:ascii="Times New Roman" w:cs="Times New Roman" w:eastAsia="Times New Roman" w:hAnsi="Times New Roman"/>
          <w:sz w:val="18"/>
          <w:szCs w:val="18"/>
          <w:u w:val="single" w:color="auto"/>
          <w:color w:val="0000FF"/>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26035</wp:posOffset>
            </wp:positionV>
            <wp:extent cx="23114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23114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CANADIAN IMPERIAL BANK OF COMMERCE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 a Committed Purchaser </w:t>
      </w:r>
      <w:r>
        <w:rPr>
          <w:rFonts w:ascii="Times New Roman" w:cs="Times New Roman" w:eastAsia="Times New Roman" w:hAnsi="Times New Roman"/>
          <w:sz w:val="18"/>
          <w:szCs w:val="18"/>
          <w:color w:val="FF0000"/>
          <w:strike w:val="1"/>
        </w:rPr>
        <w:t>for Canadian Imperial Bank of Commerce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Scheduled Commitment Termination Date: March 1, </w:t>
      </w:r>
      <w:r>
        <w:rPr>
          <w:rFonts w:ascii="Times New Roman" w:cs="Times New Roman" w:eastAsia="Times New Roman" w:hAnsi="Times New Roman"/>
          <w:sz w:val="18"/>
          <w:szCs w:val="18"/>
          <w:color w:val="FF0000"/>
          <w:strike w:val="1"/>
        </w:rPr>
        <w:t>2025</w:t>
      </w:r>
      <w:r>
        <w:rPr>
          <w:rFonts w:ascii="Times New Roman" w:cs="Times New Roman" w:eastAsia="Times New Roman" w:hAnsi="Times New Roman"/>
          <w:sz w:val="18"/>
          <w:szCs w:val="18"/>
          <w:u w:val="single" w:color="auto"/>
          <w:color w:val="0000FF"/>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26035</wp:posOffset>
            </wp:positionV>
            <wp:extent cx="23114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31140" cy="8255"/>
                    </a:xfrm>
                    <a:prstGeom prst="rect">
                      <a:avLst/>
                    </a:prstGeom>
                    <a:noFill/>
                  </pic:spPr>
                </pic:pic>
              </a:graphicData>
            </a:graphic>
          </wp:anchor>
        </w:drawing>
      </w:r>
    </w:p>
    <w:p>
      <w:pPr>
        <w:spacing w:after="0" w:line="13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Schedule VII-1</w:t>
      </w:r>
    </w:p>
    <w:p>
      <w:pPr>
        <w:sectPr>
          <w:pgSz w:w="11900" w:h="16838" w:orient="portrait"/>
          <w:cols w:equalWidth="0" w:num="1">
            <w:col w:w="10019"/>
          </w:cols>
          <w:pgMar w:left="440" w:top="270" w:right="1440"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HSBC BANK USA,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Committed Purchaser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Scheduled Commitment Termination Date: March 1, </w:t>
      </w:r>
      <w:r>
        <w:rPr>
          <w:rFonts w:ascii="Times New Roman" w:cs="Times New Roman" w:eastAsia="Times New Roman" w:hAnsi="Times New Roman"/>
          <w:sz w:val="18"/>
          <w:szCs w:val="18"/>
          <w:color w:val="FF0000"/>
          <w:strike w:val="1"/>
        </w:rPr>
        <w:t>2025</w:t>
      </w:r>
      <w:r>
        <w:rPr>
          <w:rFonts w:ascii="Times New Roman" w:cs="Times New Roman" w:eastAsia="Times New Roman" w:hAnsi="Times New Roman"/>
          <w:sz w:val="18"/>
          <w:szCs w:val="18"/>
          <w:u w:val="single" w:color="auto"/>
          <w:color w:val="0000FF"/>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26035</wp:posOffset>
            </wp:positionV>
            <wp:extent cx="23114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231140" cy="8255"/>
                    </a:xfrm>
                    <a:prstGeom prst="rect">
                      <a:avLst/>
                    </a:prstGeom>
                    <a:noFill/>
                  </pic:spPr>
                </pic:pic>
              </a:graphicData>
            </a:graphic>
          </wp:anchor>
        </w:drawing>
      </w:r>
    </w:p>
    <w:p>
      <w:pPr>
        <w:spacing w:after="0" w:line="138" w:lineRule="exact"/>
        <w:rPr>
          <w:sz w:val="20"/>
          <w:szCs w:val="20"/>
          <w:color w:val="auto"/>
        </w:rPr>
      </w:pPr>
    </w:p>
    <w:p>
      <w:pPr>
        <w:jc w:val="right"/>
        <w:ind w:right="3959"/>
        <w:spacing w:after="0"/>
        <w:rPr>
          <w:sz w:val="20"/>
          <w:szCs w:val="20"/>
          <w:color w:val="auto"/>
        </w:rPr>
      </w:pPr>
      <w:r>
        <w:rPr>
          <w:rFonts w:ascii="Times New Roman" w:cs="Times New Roman" w:eastAsia="Times New Roman" w:hAnsi="Times New Roman"/>
          <w:sz w:val="18"/>
          <w:szCs w:val="18"/>
          <w:color w:val="auto"/>
        </w:rPr>
        <w:t>Schedule VII-2</w:t>
      </w:r>
    </w:p>
    <w:p>
      <w:pPr>
        <w:sectPr>
          <w:pgSz w:w="11900" w:h="16838" w:orient="portrait"/>
          <w:cols w:equalWidth="0" w:num="1">
            <w:col w:w="10019"/>
          </w:cols>
          <w:pgMar w:left="440" w:top="270" w:right="1440" w:bottom="1440" w:gutter="0" w:footer="0" w:header="0"/>
        </w:sectPr>
      </w:pPr>
    </w:p>
    <w:bookmarkStart w:id="289" w:name="page290"/>
    <w:bookmarkEnd w:id="289"/>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VIII</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SUBJECT UCC</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Debtor</w:t>
            </w:r>
          </w:p>
        </w:tc>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Secured Party</w:t>
            </w:r>
          </w:p>
        </w:tc>
        <w:tc>
          <w:tcPr>
            <w:tcW w:w="29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Filing Location</w:t>
            </w:r>
          </w:p>
        </w:tc>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Filing Data</w:t>
            </w:r>
          </w:p>
        </w:tc>
      </w:tr>
      <w:tr>
        <w:trPr>
          <w:trHeight w:val="228"/>
        </w:trPr>
        <w:tc>
          <w:tcPr>
            <w:tcW w:w="2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TVC Communications, L.L.C.</w:t>
            </w:r>
          </w:p>
        </w:tc>
        <w:tc>
          <w:tcPr>
            <w:tcW w:w="160" w:type="dxa"/>
            <w:vAlign w:val="bottom"/>
          </w:tcPr>
          <w:p>
            <w:pPr>
              <w:spacing w:after="0"/>
              <w:rPr>
                <w:sz w:val="19"/>
                <w:szCs w:val="19"/>
                <w:color w:val="auto"/>
              </w:rPr>
            </w:pPr>
          </w:p>
        </w:tc>
        <w:tc>
          <w:tcPr>
            <w:tcW w:w="2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CommScope, Inc. of North Carolina</w:t>
            </w:r>
          </w:p>
        </w:tc>
        <w:tc>
          <w:tcPr>
            <w:tcW w:w="120" w:type="dxa"/>
            <w:vAlign w:val="bottom"/>
          </w:tcPr>
          <w:p>
            <w:pPr>
              <w:spacing w:after="0"/>
              <w:rPr>
                <w:sz w:val="19"/>
                <w:szCs w:val="19"/>
                <w:color w:val="auto"/>
              </w:rPr>
            </w:pPr>
          </w:p>
        </w:tc>
        <w:tc>
          <w:tcPr>
            <w:tcW w:w="2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 Department of State</w:t>
            </w:r>
          </w:p>
        </w:tc>
        <w:tc>
          <w:tcPr>
            <w:tcW w:w="100" w:type="dxa"/>
            <w:vAlign w:val="bottom"/>
          </w:tcPr>
          <w:p>
            <w:pPr>
              <w:spacing w:after="0"/>
              <w:rPr>
                <w:sz w:val="19"/>
                <w:szCs w:val="19"/>
                <w:color w:val="auto"/>
              </w:rPr>
            </w:pPr>
          </w:p>
        </w:tc>
        <w:tc>
          <w:tcPr>
            <w:tcW w:w="2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Initial Filing # 2009 1997995</w:t>
            </w:r>
          </w:p>
        </w:tc>
      </w:tr>
      <w:tr>
        <w:trPr>
          <w:trHeight w:val="319"/>
        </w:trPr>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U.C.C. Filing Section</w:t>
            </w: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Filed 6/23/2009</w:t>
            </w:r>
          </w:p>
        </w:tc>
      </w:tr>
      <w:tr>
        <w:trPr>
          <w:trHeight w:val="378"/>
        </w:trPr>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0" w:type="dxa"/>
            <w:vAlign w:val="bottom"/>
            <w:gridSpan w:val="4"/>
          </w:tcPr>
          <w:p>
            <w:pPr>
              <w:ind w:left="2140"/>
              <w:spacing w:after="0"/>
              <w:rPr>
                <w:sz w:val="20"/>
                <w:szCs w:val="20"/>
                <w:color w:val="auto"/>
              </w:rPr>
            </w:pPr>
            <w:r>
              <w:rPr>
                <w:rFonts w:ascii="Times New Roman" w:cs="Times New Roman" w:eastAsia="Times New Roman" w:hAnsi="Times New Roman"/>
                <w:sz w:val="18"/>
                <w:szCs w:val="18"/>
                <w:color w:val="auto"/>
              </w:rPr>
              <w:t>Schedule VIII-1</w:t>
            </w:r>
          </w:p>
        </w:tc>
        <w:tc>
          <w:tcPr>
            <w:tcW w:w="264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290" w:name="page291"/>
    <w:bookmarkEnd w:id="29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IX</w:t>
      </w:r>
    </w:p>
    <w:p>
      <w:pPr>
        <w:sectPr>
          <w:pgSz w:w="11900" w:h="16838" w:orient="portrait"/>
          <w:cols w:equalWidth="0" w:num="1">
            <w:col w:w="9019"/>
          </w:cols>
          <w:pgMar w:left="1440" w:top="270" w:right="1440"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Schedule IX-1</w:t>
      </w:r>
    </w:p>
    <w:p>
      <w:pPr>
        <w:sectPr>
          <w:pgSz w:w="11900" w:h="16838" w:orient="portrait"/>
          <w:cols w:equalWidth="0" w:num="1">
            <w:col w:w="9019"/>
          </w:cols>
          <w:pgMar w:left="1440" w:top="270" w:right="1440" w:bottom="1440" w:gutter="0" w:footer="0" w:header="0"/>
          <w:type w:val="continuous"/>
        </w:sectPr>
      </w:pPr>
    </w:p>
    <w:bookmarkStart w:id="291" w:name="page292"/>
    <w:bookmarkEnd w:id="29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EXCLUDED RECEIVABLES</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Receivable</w:t>
      </w:r>
      <w:r>
        <w:rPr>
          <w:rFonts w:ascii="Times New Roman" w:cs="Times New Roman" w:eastAsia="Times New Roman" w:hAnsi="Times New Roman"/>
          <w:sz w:val="18"/>
          <w:szCs w:val="18"/>
          <w:color w:val="auto"/>
        </w:rPr>
        <w:t>” means any Receivable (without giving effect to the exclusion of “Excluded Receivables” from the definition thereof):</w:t>
      </w:r>
    </w:p>
    <w:p>
      <w:pPr>
        <w:spacing w:after="0" w:line="117" w:lineRule="exact"/>
        <w:rPr>
          <w:sz w:val="20"/>
          <w:szCs w:val="20"/>
          <w:color w:val="auto"/>
        </w:rPr>
      </w:pPr>
    </w:p>
    <w:p>
      <w:pPr>
        <w:ind w:left="620" w:hanging="224"/>
        <w:spacing w:after="0"/>
        <w:tabs>
          <w:tab w:leader="none" w:pos="62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both (i) is owed by an Obligor not a resident of the United States and (ii) is denominated in a currency other than U.S. dollars,</w:t>
      </w:r>
    </w:p>
    <w:p>
      <w:pPr>
        <w:spacing w:after="0" w:line="117" w:lineRule="exact"/>
        <w:rPr>
          <w:rFonts w:ascii="Times New Roman" w:cs="Times New Roman" w:eastAsia="Times New Roman" w:hAnsi="Times New Roman"/>
          <w:sz w:val="18"/>
          <w:szCs w:val="18"/>
          <w:color w:val="auto"/>
        </w:rPr>
      </w:pPr>
    </w:p>
    <w:p>
      <w:pPr>
        <w:ind w:left="660" w:hanging="264"/>
        <w:spacing w:after="0"/>
        <w:tabs>
          <w:tab w:leader="none" w:pos="66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 of which is Siemens AG or any Subsidiary thereof,</w:t>
      </w:r>
    </w:p>
    <w:p>
      <w:pPr>
        <w:spacing w:after="0" w:line="117" w:lineRule="exact"/>
        <w:rPr>
          <w:rFonts w:ascii="Times New Roman" w:cs="Times New Roman" w:eastAsia="Times New Roman" w:hAnsi="Times New Roman"/>
          <w:sz w:val="18"/>
          <w:szCs w:val="18"/>
          <w:color w:val="auto"/>
        </w:rPr>
      </w:pPr>
    </w:p>
    <w:p>
      <w:pPr>
        <w:ind w:left="720" w:hanging="324"/>
        <w:spacing w:after="0"/>
        <w:tabs>
          <w:tab w:leader="none" w:pos="72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 of which is Siemens Energy AG or any Subsidiary thereof,</w:t>
      </w:r>
    </w:p>
    <w:p>
      <w:pPr>
        <w:spacing w:after="0" w:line="117" w:lineRule="exact"/>
        <w:rPr>
          <w:rFonts w:ascii="Times New Roman" w:cs="Times New Roman" w:eastAsia="Times New Roman" w:hAnsi="Times New Roman"/>
          <w:sz w:val="18"/>
          <w:szCs w:val="18"/>
          <w:color w:val="auto"/>
        </w:rPr>
      </w:pPr>
    </w:p>
    <w:p>
      <w:pPr>
        <w:ind w:left="700" w:hanging="304"/>
        <w:spacing w:after="0"/>
        <w:tabs>
          <w:tab w:leader="none" w:pos="70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 of which is Mondelez International Inc. or any Subsidiary thereof,</w:t>
      </w:r>
    </w:p>
    <w:p>
      <w:pPr>
        <w:spacing w:after="0" w:line="117" w:lineRule="exact"/>
        <w:rPr>
          <w:rFonts w:ascii="Times New Roman" w:cs="Times New Roman" w:eastAsia="Times New Roman" w:hAnsi="Times New Roman"/>
          <w:sz w:val="18"/>
          <w:szCs w:val="18"/>
          <w:color w:val="auto"/>
        </w:rPr>
      </w:pPr>
    </w:p>
    <w:p>
      <w:pPr>
        <w:ind w:left="-40" w:right="860" w:firstLine="436"/>
        <w:spacing w:after="0" w:line="282" w:lineRule="auto"/>
        <w:tabs>
          <w:tab w:leader="none" w:pos="655"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 of which is Evoqua Water Technologies LLC or any Subsidiary thereof and such Receivable was originated on or after September 26, 2019,</w:t>
      </w:r>
    </w:p>
    <w:p>
      <w:pPr>
        <w:spacing w:after="0" w:line="53" w:lineRule="exact"/>
        <w:rPr>
          <w:rFonts w:ascii="Times New Roman" w:cs="Times New Roman" w:eastAsia="Times New Roman" w:hAnsi="Times New Roman"/>
          <w:sz w:val="18"/>
          <w:szCs w:val="18"/>
          <w:color w:val="auto"/>
        </w:rPr>
      </w:pPr>
    </w:p>
    <w:p>
      <w:pPr>
        <w:ind w:left="-40" w:right="360" w:firstLine="436"/>
        <w:spacing w:after="0" w:line="282" w:lineRule="auto"/>
        <w:tabs>
          <w:tab w:leader="none" w:pos="705"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originated by any Originator that is joining the Sale Agreement on the date hereof and the Obligor of which is (a) Stanley Black &amp; Decker, Inc. (or any Subsidiary thereof), or (b) Electrical Components International Inc. (or any Subsidiary thereof),</w:t>
      </w:r>
    </w:p>
    <w:p>
      <w:pPr>
        <w:spacing w:after="0" w:line="53" w:lineRule="exact"/>
        <w:rPr>
          <w:rFonts w:ascii="Times New Roman" w:cs="Times New Roman" w:eastAsia="Times New Roman" w:hAnsi="Times New Roman"/>
          <w:sz w:val="18"/>
          <w:szCs w:val="18"/>
          <w:color w:val="auto"/>
        </w:rPr>
      </w:pPr>
    </w:p>
    <w:p>
      <w:pPr>
        <w:jc w:val="both"/>
        <w:ind w:left="-40" w:firstLine="436"/>
        <w:spacing w:after="0" w:line="266" w:lineRule="auto"/>
        <w:tabs>
          <w:tab w:leader="none" w:pos="755"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 of which is Honeywell International, Inc. or any Subsidiary thereof</w:t>
      </w:r>
      <w:r>
        <w:rPr>
          <w:rFonts w:ascii="Times New Roman" w:cs="Times New Roman" w:eastAsia="Times New Roman" w:hAnsi="Times New Roman"/>
          <w:sz w:val="18"/>
          <w:szCs w:val="18"/>
          <w:color w:val="FF0000"/>
          <w:strike w:val="1"/>
        </w:rPr>
        <w:t>, or</w:t>
      </w:r>
      <w:r>
        <w:rPr>
          <w:rFonts w:ascii="Times New Roman" w:cs="Times New Roman" w:eastAsia="Times New Roman" w:hAnsi="Times New Roman"/>
          <w:sz w:val="18"/>
          <w:szCs w:val="18"/>
          <w:u w:val="single" w:color="auto"/>
          <w:color w:val="0000FF"/>
        </w:rPr>
        <w:t>; provided, from and after such time that the Administrator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has received reasonably satisfactory evidence that no Adverse Claim exists against an Originator with respect thereto, such receivables shall cease to be Excluded Receivables with respect to such Originator, or</w:t>
      </w:r>
    </w:p>
    <w:p>
      <w:pPr>
        <w:spacing w:after="0" w:line="67" w:lineRule="exact"/>
        <w:rPr>
          <w:rFonts w:ascii="Times New Roman" w:cs="Times New Roman" w:eastAsia="Times New Roman" w:hAnsi="Times New Roman"/>
          <w:sz w:val="18"/>
          <w:szCs w:val="18"/>
          <w:color w:val="auto"/>
        </w:rPr>
      </w:pPr>
    </w:p>
    <w:p>
      <w:pPr>
        <w:ind w:left="-40" w:right="80" w:firstLine="436"/>
        <w:spacing w:after="0" w:line="266" w:lineRule="auto"/>
        <w:tabs>
          <w:tab w:leader="none" w:pos="805"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 of which is Kennametal Inc or any Subsidiary thereof</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 from and after such time that the Administrator has received reasonably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satisfactory evidence that no Adverse Claim exists against an Originator with respect thereto, such receivables shall cease to be Excluded Receivables with respect to such Originator.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4249420</wp:posOffset>
            </wp:positionH>
            <wp:positionV relativeFrom="paragraph">
              <wp:posOffset>-758825</wp:posOffset>
            </wp:positionV>
            <wp:extent cx="268287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682875" cy="8255"/>
                    </a:xfrm>
                    <a:prstGeom prst="rect">
                      <a:avLst/>
                    </a:prstGeom>
                    <a:noFill/>
                  </pic:spPr>
                </pic:pic>
              </a:graphicData>
            </a:graphic>
          </wp:anchor>
        </w:drawing>
        <w:drawing>
          <wp:anchor simplePos="0" relativeHeight="251657728" behindDoc="1" locked="0" layoutInCell="0" allowOverlap="1">
            <wp:simplePos x="0" y="0"/>
            <wp:positionH relativeFrom="column">
              <wp:posOffset>-27305</wp:posOffset>
            </wp:positionH>
            <wp:positionV relativeFrom="paragraph">
              <wp:posOffset>-621665</wp:posOffset>
            </wp:positionV>
            <wp:extent cx="693483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-27305</wp:posOffset>
            </wp:positionH>
            <wp:positionV relativeFrom="paragraph">
              <wp:posOffset>-484505</wp:posOffset>
            </wp:positionV>
            <wp:extent cx="260604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606040" cy="8255"/>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-278765</wp:posOffset>
            </wp:positionV>
            <wp:extent cx="334327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3343275" cy="8255"/>
                    </a:xfrm>
                    <a:prstGeom prst="rect">
                      <a:avLst/>
                    </a:prstGeom>
                    <a:noFill/>
                  </pic:spPr>
                </pic:pic>
              </a:graphicData>
            </a:graphic>
          </wp:anchor>
        </w:drawing>
        <w:drawing>
          <wp:anchor simplePos="0" relativeHeight="251657728" behindDoc="1" locked="0" layoutInCell="0" allowOverlap="1">
            <wp:simplePos x="0" y="0"/>
            <wp:positionH relativeFrom="column">
              <wp:posOffset>-27305</wp:posOffset>
            </wp:positionH>
            <wp:positionV relativeFrom="paragraph">
              <wp:posOffset>-141605</wp:posOffset>
            </wp:positionV>
            <wp:extent cx="685800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-27305</wp:posOffset>
            </wp:positionH>
            <wp:positionV relativeFrom="paragraph">
              <wp:posOffset>-4445</wp:posOffset>
            </wp:positionV>
            <wp:extent cx="144018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X-1</w:t>
      </w:r>
    </w:p>
    <w:p>
      <w:pPr>
        <w:sectPr>
          <w:pgSz w:w="11900" w:h="16838" w:orient="portrait"/>
          <w:cols w:equalWidth="0" w:num="1">
            <w:col w:w="10920"/>
          </w:cols>
          <w:pgMar w:left="480" w:top="270" w:right="499" w:bottom="1440" w:gutter="0" w:footer="0" w:header="0"/>
        </w:sectPr>
      </w:pPr>
    </w:p>
    <w:bookmarkStart w:id="292" w:name="page293"/>
    <w:bookmarkEnd w:id="29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XI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CLOSING MEMORANDUM</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XI-1</w:t>
      </w:r>
    </w:p>
    <w:p>
      <w:pPr>
        <w:sectPr>
          <w:pgSz w:w="11900" w:h="16838" w:orient="portrait"/>
          <w:cols w:equalWidth="0" w:num="1">
            <w:col w:w="9019"/>
          </w:cols>
          <w:pgMar w:left="1440" w:top="270" w:right="1440" w:bottom="1440" w:gutter="0" w:footer="0" w:header="0"/>
        </w:sectPr>
      </w:pPr>
    </w:p>
    <w:bookmarkStart w:id="293" w:name="page294"/>
    <w:bookmarkEnd w:id="293"/>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Fifth Amended And Restated Receivables Purchase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OF INFORMATION PACKAGE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w:t>
      </w:r>
    </w:p>
    <w:p>
      <w:pPr>
        <w:sectPr>
          <w:pgSz w:w="11900" w:h="16838" w:orient="portrait"/>
          <w:cols w:equalWidth="0" w:num="1">
            <w:col w:w="9019"/>
          </w:cols>
          <w:pgMar w:left="1440" w:top="270" w:right="1440" w:bottom="1440" w:gutter="0" w:footer="0" w:header="0"/>
        </w:sectPr>
      </w:pPr>
    </w:p>
    <w:bookmarkStart w:id="294" w:name="page295"/>
    <w:bookmarkEnd w:id="294"/>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Fifth Amended And Restated Receivables Purchase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OF PURCHASE NOTICE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w:t>
      </w:r>
    </w:p>
    <w:p>
      <w:pPr>
        <w:sectPr>
          <w:pgSz w:w="11900" w:h="16838" w:orient="portrait"/>
          <w:cols w:equalWidth="0" w:num="1">
            <w:col w:w="9019"/>
          </w:cols>
          <w:pgMar w:left="1440" w:top="270" w:right="1440" w:bottom="1440" w:gutter="0" w:footer="0" w:header="0"/>
        </w:sectPr>
      </w:pPr>
    </w:p>
    <w:bookmarkStart w:id="295" w:name="page296"/>
    <w:bookmarkEnd w:id="29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PURCHASE NOTICE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-7620</wp:posOffset>
            </wp:positionV>
            <wp:extent cx="5715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Bank,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PNC Plaza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225 Fifth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PA 15222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Reference is hereby made to the Fifth Amended and Restated Receivables Purchase Agreement, dated as of June 22, 2020 (as heretofore amended or supplemented, the “</w:t>
      </w:r>
      <w:r>
        <w:rPr>
          <w:rFonts w:ascii="Times New Roman" w:cs="Times New Roman" w:eastAsia="Times New Roman" w:hAnsi="Times New Roman"/>
          <w:sz w:val="18"/>
          <w:szCs w:val="18"/>
          <w:u w:val="single" w:color="auto"/>
          <w:color w:val="auto"/>
        </w:rPr>
        <w:t>Receivables Purchase Agreement</w:t>
      </w:r>
      <w:r>
        <w:rPr>
          <w:rFonts w:ascii="Times New Roman" w:cs="Times New Roman" w:eastAsia="Times New Roman" w:hAnsi="Times New Roman"/>
          <w:sz w:val="18"/>
          <w:szCs w:val="18"/>
          <w:color w:val="auto"/>
        </w:rPr>
        <w:t>”), among WESCO Receivables Corp.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WESCO Distribution, Inc., as Servicer, PNC Bank, National Association (the “</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and the various Purchaser Groups party thereto. Capitalized terms used in this Purchase Notice and not otherwise defined herein shall have the meanings assigned thereto in the Receivables Purchase Agreement.</w:t>
      </w:r>
    </w:p>
    <w:p>
      <w:pPr>
        <w:spacing w:after="0" w:line="180" w:lineRule="exact"/>
        <w:rPr>
          <w:sz w:val="20"/>
          <w:szCs w:val="20"/>
          <w:color w:val="auto"/>
        </w:rPr>
      </w:pPr>
    </w:p>
    <w:p>
      <w:pPr>
        <w:ind w:right="100" w:firstLine="440"/>
        <w:spacing w:after="0" w:line="275" w:lineRule="auto"/>
        <w:rPr>
          <w:sz w:val="20"/>
          <w:szCs w:val="20"/>
          <w:color w:val="auto"/>
        </w:rPr>
      </w:pPr>
      <w:r>
        <w:rPr>
          <w:rFonts w:ascii="Times New Roman" w:cs="Times New Roman" w:eastAsia="Times New Roman" w:hAnsi="Times New Roman"/>
          <w:sz w:val="18"/>
          <w:szCs w:val="18"/>
          <w:color w:val="auto"/>
        </w:rPr>
        <w:t xml:space="preserve">This letter constitutes a Purchase Notice pursuant to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xml:space="preserve"> of the Receivables Purchase Agreement. Seller desires to sell an undivided variable interest in a pool of receivables on           , 20__, for a purchase price of $      . The Aggregate Investment after such purchase shall be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1995805</wp:posOffset>
            </wp:positionH>
            <wp:positionV relativeFrom="paragraph">
              <wp:posOffset>-40005</wp:posOffset>
            </wp:positionV>
            <wp:extent cx="5715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-40005</wp:posOffset>
            </wp:positionV>
            <wp:extent cx="3429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96520</wp:posOffset>
            </wp:positionV>
            <wp:extent cx="34290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3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Seller hereby represents and warrants as of the date hereof, and as of the date of Purchase, as follows:</w:t>
      </w:r>
    </w:p>
    <w:p>
      <w:pPr>
        <w:spacing w:after="0" w:line="117" w:lineRule="exact"/>
        <w:rPr>
          <w:sz w:val="20"/>
          <w:szCs w:val="20"/>
          <w:color w:val="auto"/>
        </w:rPr>
      </w:pPr>
    </w:p>
    <w:p>
      <w:pPr>
        <w:ind w:right="80" w:firstLine="436"/>
        <w:spacing w:after="0" w:line="266" w:lineRule="auto"/>
        <w:tabs>
          <w:tab w:leader="none" w:pos="655"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contained in </w:t>
      </w:r>
      <w:r>
        <w:rPr>
          <w:rFonts w:ascii="Times New Roman" w:cs="Times New Roman" w:eastAsia="Times New Roman" w:hAnsi="Times New Roman"/>
          <w:sz w:val="18"/>
          <w:szCs w:val="18"/>
          <w:u w:val="single" w:color="auto"/>
          <w:color w:val="auto"/>
        </w:rPr>
        <w:t>Exhibit III</w:t>
      </w:r>
      <w:r>
        <w:rPr>
          <w:rFonts w:ascii="Times New Roman" w:cs="Times New Roman" w:eastAsia="Times New Roman" w:hAnsi="Times New Roman"/>
          <w:sz w:val="18"/>
          <w:szCs w:val="18"/>
          <w:color w:val="auto"/>
        </w:rPr>
        <w:t xml:space="preserve"> of the Receivables Purchase Agreement are correct in all material respects on and as of such dates as though made on and as of such dates and shall be deemed to have been made on such dates;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representation and warranty relates solely to an earlier date, such representation and warranty was correct in all material respects as of such earlier date;</w:t>
      </w:r>
    </w:p>
    <w:p>
      <w:pPr>
        <w:spacing w:after="0" w:line="6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Termination Event or Unmatured Termination Event has occurred and is continuing, or would result from such purchase;</w:t>
      </w:r>
    </w:p>
    <w:p>
      <w:pPr>
        <w:spacing w:after="0" w:line="117" w:lineRule="exact"/>
        <w:rPr>
          <w:rFonts w:ascii="Times New Roman" w:cs="Times New Roman" w:eastAsia="Times New Roman" w:hAnsi="Times New Roman"/>
          <w:sz w:val="18"/>
          <w:szCs w:val="18"/>
          <w:color w:val="auto"/>
        </w:rPr>
      </w:pPr>
    </w:p>
    <w:p>
      <w:pPr>
        <w:ind w:right="260" w:firstLine="436"/>
        <w:spacing w:after="0" w:line="282" w:lineRule="auto"/>
        <w:tabs>
          <w:tab w:leader="none" w:pos="755"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purchase proposed hereby, the Purchased Interest will not exceed 100%, no Purchaser’s Investment will exceed its Commitment and the Aggregate Investment will not exceed the Purchase Limit; and</w:t>
      </w:r>
    </w:p>
    <w:p>
      <w:pPr>
        <w:spacing w:after="0" w:line="53"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Facility Termination Date shall not have occurred.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w:t>
      </w:r>
    </w:p>
    <w:p>
      <w:pPr>
        <w:sectPr>
          <w:pgSz w:w="11900" w:h="16838" w:orient="portrait"/>
          <w:cols w:equalWidth="0" w:num="1">
            <w:col w:w="11020"/>
          </w:cols>
          <w:pgMar w:left="440" w:top="266" w:right="439" w:bottom="1440" w:gutter="0" w:footer="0" w:header="0"/>
        </w:sectPr>
      </w:pPr>
    </w:p>
    <w:bookmarkStart w:id="296" w:name="page297"/>
    <w:bookmarkEnd w:id="296"/>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has caused this Purchase Notice to be executed by its duly authorized officer as of the date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WESCO RECEIVABLES CORP.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ANNEX B</w:t>
      </w:r>
    </w:p>
    <w:p>
      <w:pPr>
        <w:sectPr>
          <w:pgSz w:w="11900" w:h="16838" w:orient="portrait"/>
          <w:cols w:equalWidth="0" w:num="1">
            <w:col w:w="10960"/>
          </w:cols>
          <w:pgMar w:left="440" w:top="270" w:right="499" w:bottom="1440" w:gutter="0" w:footer="0" w:header="0"/>
        </w:sectPr>
      </w:pPr>
    </w:p>
    <w:bookmarkStart w:id="297" w:name="page298"/>
    <w:bookmarkEnd w:id="297"/>
    <w:tbl>
      <w:tblPr>
        <w:tblLayout w:type="fixed"/>
        <w:tblInd w:w="7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gridSpan w:val="3"/>
          </w:tcPr>
          <w:p>
            <w:pPr>
              <w:jc w:val="center"/>
              <w:ind w:left="1750"/>
              <w:spacing w:after="0"/>
              <w:rPr>
                <w:sz w:val="20"/>
                <w:szCs w:val="20"/>
                <w:color w:val="auto"/>
              </w:rPr>
            </w:pPr>
            <w:r>
              <w:rPr>
                <w:rFonts w:ascii="Times New Roman" w:cs="Times New Roman" w:eastAsia="Times New Roman" w:hAnsi="Times New Roman"/>
                <w:sz w:val="18"/>
                <w:szCs w:val="18"/>
                <w:color w:val="auto"/>
              </w:rPr>
              <w:t>ANNEX C</w:t>
            </w: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00" w:type="dxa"/>
            <w:vAlign w:val="bottom"/>
            <w:gridSpan w:val="3"/>
          </w:tcPr>
          <w:p>
            <w:pPr>
              <w:jc w:val="center"/>
              <w:ind w:left="1770"/>
              <w:spacing w:after="0"/>
              <w:rPr>
                <w:sz w:val="20"/>
                <w:szCs w:val="20"/>
                <w:color w:val="auto"/>
              </w:rPr>
            </w:pPr>
            <w:r>
              <w:rPr>
                <w:rFonts w:ascii="Times New Roman" w:cs="Times New Roman" w:eastAsia="Times New Roman" w:hAnsi="Times New Roman"/>
                <w:sz w:val="18"/>
                <w:szCs w:val="18"/>
                <w:color w:val="auto"/>
                <w:w w:val="98"/>
              </w:rPr>
              <w:t>FORM OF DAILY REPORT</w:t>
            </w: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A/R of Originators at prior month end</w:t>
            </w:r>
          </w:p>
        </w:tc>
        <w:tc>
          <w:tcPr>
            <w:tcW w:w="8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$x,xxx,xxx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Originator sales since prior month end</w:t>
            </w:r>
          </w:p>
        </w:tc>
        <w:tc>
          <w:tcPr>
            <w:tcW w:w="880" w:type="dxa"/>
            <w:vAlign w:val="bottom"/>
          </w:tcPr>
          <w:p>
            <w:pPr>
              <w:spacing w:after="0"/>
              <w:rPr>
                <w:sz w:val="18"/>
                <w:szCs w:val="18"/>
                <w:color w:val="auto"/>
              </w:rPr>
            </w:pP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$x,xxx,xxx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 Originator collections since prior month end</w:t>
            </w:r>
          </w:p>
        </w:tc>
        <w:tc>
          <w:tcPr>
            <w:tcW w:w="1860" w:type="dxa"/>
            <w:vAlign w:val="bottom"/>
            <w:gridSpan w:val="3"/>
            <w:shd w:val="clear" w:color="auto" w:fill="CCEEFF"/>
          </w:tcPr>
          <w:p>
            <w:pPr>
              <w:jc w:val="center"/>
              <w:ind w:left="750"/>
              <w:spacing w:after="0" w:line="176" w:lineRule="exact"/>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x,xxx,xxx)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Gross A/R of Originators</w:t>
            </w:r>
          </w:p>
        </w:tc>
        <w:tc>
          <w:tcPr>
            <w:tcW w:w="22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$x,xxx,xxx</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8"/>
              </w:rPr>
              <w:t>(-) Advance Rate Proxy from Prior Month End</w:t>
            </w:r>
          </w:p>
        </w:tc>
        <w:tc>
          <w:tcPr>
            <w:tcW w:w="2240" w:type="dxa"/>
            <w:vAlign w:val="bottom"/>
            <w:gridSpan w:val="2"/>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40"/>
              <w:spacing w:after="0" w:line="176" w:lineRule="exact"/>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x,xxx,xxx)</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Maximum Aggregate Investment</w:t>
            </w:r>
          </w:p>
        </w:tc>
        <w:tc>
          <w:tcPr>
            <w:tcW w:w="2240" w:type="dxa"/>
            <w:vAlign w:val="bottom"/>
            <w:tcBorders>
              <w:top w:val="single" w:sz="8" w:color="CCEEFF"/>
            </w:tcBorders>
            <w:gridSpan w:val="2"/>
          </w:tcPr>
          <w:p>
            <w:pPr>
              <w:spacing w:after="0"/>
              <w:rPr>
                <w:sz w:val="20"/>
                <w:szCs w:val="20"/>
                <w:color w:val="auto"/>
              </w:rPr>
            </w:pPr>
          </w:p>
        </w:tc>
        <w:tc>
          <w:tcPr>
            <w:tcW w:w="880" w:type="dxa"/>
            <w:vAlign w:val="bottom"/>
            <w:tcBorders>
              <w:top w:val="single" w:sz="8" w:color="CCEEFF"/>
            </w:tcBorders>
          </w:tcPr>
          <w:p>
            <w:pPr>
              <w:spacing w:after="0"/>
              <w:rPr>
                <w:sz w:val="20"/>
                <w:szCs w:val="20"/>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$x,xxx,xxx</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336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Investment</w:t>
            </w:r>
          </w:p>
        </w:tc>
        <w:tc>
          <w:tcPr>
            <w:tcW w:w="8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$x,xxx,xxx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Reserves Proxy</w:t>
            </w:r>
          </w:p>
        </w:tc>
        <w:tc>
          <w:tcPr>
            <w:tcW w:w="880" w:type="dxa"/>
            <w:vAlign w:val="bottom"/>
          </w:tcPr>
          <w:p>
            <w:pPr>
              <w:spacing w:after="0"/>
              <w:rPr>
                <w:sz w:val="18"/>
                <w:szCs w:val="18"/>
                <w:color w:val="auto"/>
              </w:rPr>
            </w:pP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$x,xxx,xxx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A/R of Originators</w:t>
            </w:r>
          </w:p>
        </w:tc>
        <w:tc>
          <w:tcPr>
            <w:tcW w:w="8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$x,xxx,xxx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Ineligible A/R (proxied from Prior Month End)</w:t>
            </w:r>
          </w:p>
        </w:tc>
        <w:tc>
          <w:tcPr>
            <w:tcW w:w="880" w:type="dxa"/>
            <w:vAlign w:val="bottom"/>
          </w:tcPr>
          <w:p>
            <w:pPr>
              <w:spacing w:after="0"/>
              <w:rPr>
                <w:sz w:val="18"/>
                <w:szCs w:val="18"/>
                <w:color w:val="auto"/>
              </w:rPr>
            </w:pP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$x,xxx,xxx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Concentrations (proxied from Prior Month End)</w:t>
            </w:r>
          </w:p>
        </w:tc>
        <w:tc>
          <w:tcPr>
            <w:tcW w:w="8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$x,xxx,xxx</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Receivables Pool Balance</w:t>
            </w:r>
          </w:p>
        </w:tc>
        <w:tc>
          <w:tcPr>
            <w:tcW w:w="880" w:type="dxa"/>
            <w:vAlign w:val="bottom"/>
          </w:tcPr>
          <w:p>
            <w:pPr>
              <w:spacing w:after="0"/>
              <w:rPr>
                <w:sz w:val="20"/>
                <w:szCs w:val="20"/>
                <w:color w:val="auto"/>
              </w:rPr>
            </w:pP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$x,xxx,xxx</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336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Interest</w:t>
            </w:r>
          </w:p>
        </w:tc>
        <w:tc>
          <w:tcPr>
            <w:tcW w:w="186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xx%</w:t>
            </w: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5600" w:type="dxa"/>
            <w:vAlign w:val="bottom"/>
            <w:gridSpan w:val="3"/>
          </w:tcPr>
          <w:p>
            <w:pPr>
              <w:jc w:val="center"/>
              <w:ind w:left="1750"/>
              <w:spacing w:after="0"/>
              <w:rPr>
                <w:sz w:val="20"/>
                <w:szCs w:val="20"/>
                <w:color w:val="auto"/>
              </w:rPr>
            </w:pPr>
            <w:r>
              <w:rPr>
                <w:rFonts w:ascii="Times New Roman" w:cs="Times New Roman" w:eastAsia="Times New Roman" w:hAnsi="Times New Roman"/>
                <w:sz w:val="18"/>
                <w:szCs w:val="18"/>
                <w:color w:val="auto"/>
              </w:rPr>
              <w:t>ANNEX C</w:t>
            </w: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98" w:name="page299"/>
    <w:bookmarkEnd w:id="298"/>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Fifth Amended And Restated Receivables Purchase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OF ASSUMPTION AGREEMENT</w:t>
      </w:r>
    </w:p>
    <w:p>
      <w:pPr>
        <w:sectPr>
          <w:pgSz w:w="11900" w:h="16838" w:orient="portrait"/>
          <w:cols w:equalWidth="0" w:num="1">
            <w:col w:w="9019"/>
          </w:cols>
          <w:pgMar w:left="1440" w:top="270" w:right="1440" w:bottom="1440" w:gutter="0" w:footer="0" w:header="0"/>
        </w:sectPr>
      </w:pPr>
    </w:p>
    <w:bookmarkStart w:id="299" w:name="page300"/>
    <w:bookmarkEnd w:id="299"/>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ASSUMPTION AGREEMENT</w:t>
      </w:r>
    </w:p>
    <w:p>
      <w:pPr>
        <w:spacing w:after="0" w:line="225"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THIS ASSUMPTION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[         ,       ], is among WESCO RECEIVABLES CORP. (the “Seller”), [      ], as purchaser (the “[      ]Conduit Purchaser”), [      ], as the related committed purchaser (the “[      ] Related Committed Purchaser” and together with the Conduit Purchaser, the “[      ] Purchasers”), and [      ], as agent for the Purchasers (the “[      ] Purchaser Agent” and together with the Purchasers, the “[      ] Purchaser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-448310</wp:posOffset>
            </wp:positionV>
            <wp:extent cx="92329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923290" cy="8890"/>
                    </a:xfrm>
                    <a:prstGeom prst="rect">
                      <a:avLst/>
                    </a:prstGeom>
                    <a:noFill/>
                  </pic:spPr>
                </pic:pic>
              </a:graphicData>
            </a:graphic>
          </wp:anchor>
        </w:drawing>
        <w:drawing>
          <wp:anchor simplePos="0" relativeHeight="251657728" behindDoc="1" locked="0" layoutInCell="0" allowOverlap="1">
            <wp:simplePos x="0" y="0"/>
            <wp:positionH relativeFrom="column">
              <wp:posOffset>498475</wp:posOffset>
            </wp:positionH>
            <wp:positionV relativeFrom="paragraph">
              <wp:posOffset>-311150</wp:posOffset>
            </wp:positionV>
            <wp:extent cx="34290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1827530</wp:posOffset>
            </wp:positionH>
            <wp:positionV relativeFrom="paragraph">
              <wp:posOffset>-311150</wp:posOffset>
            </wp:positionV>
            <wp:extent cx="34290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3239770</wp:posOffset>
            </wp:positionH>
            <wp:positionV relativeFrom="paragraph">
              <wp:posOffset>-311150</wp:posOffset>
            </wp:positionV>
            <wp:extent cx="34290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5593715</wp:posOffset>
            </wp:positionH>
            <wp:positionV relativeFrom="paragraph">
              <wp:posOffset>-311150</wp:posOffset>
            </wp:positionV>
            <wp:extent cx="34290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2680335</wp:posOffset>
            </wp:positionH>
            <wp:positionV relativeFrom="paragraph">
              <wp:posOffset>-173990</wp:posOffset>
            </wp:positionV>
            <wp:extent cx="34290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-173990</wp:posOffset>
            </wp:positionV>
            <wp:extent cx="34290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5948045</wp:posOffset>
            </wp:positionH>
            <wp:positionV relativeFrom="paragraph">
              <wp:posOffset>-173990</wp:posOffset>
            </wp:positionV>
            <wp:extent cx="34290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2160905</wp:posOffset>
            </wp:positionH>
            <wp:positionV relativeFrom="paragraph">
              <wp:posOffset>-36830</wp:posOffset>
            </wp:positionV>
            <wp:extent cx="34290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BACKGROUND</w:t>
      </w:r>
    </w:p>
    <w:p>
      <w:pPr>
        <w:spacing w:after="0" w:line="225"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The Seller and various others are parties to a certain Fifth Amended and Restated Receivables Purchase Agreement dated as of June 22, 2020 (as amended through the date hereof, the “Receivables Purchase Agreement”). Capitalized terms used and not otherwise defined herein have the respective meaning assigned to such terms in the Receivables Purchase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the parties hereto hereby agree as follows:</w:t>
      </w:r>
    </w:p>
    <w:p>
      <w:pPr>
        <w:spacing w:after="0" w:line="225"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 This letter constitutes an Assumption Agreement pursuant to </w:t>
      </w:r>
      <w:r>
        <w:rPr>
          <w:rFonts w:ascii="Times New Roman" w:cs="Times New Roman" w:eastAsia="Times New Roman" w:hAnsi="Times New Roman"/>
          <w:sz w:val="18"/>
          <w:szCs w:val="18"/>
          <w:u w:val="single" w:color="auto"/>
          <w:color w:val="auto"/>
        </w:rPr>
        <w:t>Section 1.2(e)</w:t>
      </w:r>
      <w:r>
        <w:rPr>
          <w:rFonts w:ascii="Times New Roman" w:cs="Times New Roman" w:eastAsia="Times New Roman" w:hAnsi="Times New Roman"/>
          <w:sz w:val="18"/>
          <w:szCs w:val="18"/>
          <w:color w:val="auto"/>
        </w:rPr>
        <w:t xml:space="preserve"> of the Receivables Purchase Agreement. The Seller desires [the [      ] Purchasers] [the [      ] Related Committed Purchaser] to [become Purchasers under] [increase its existing Commitment under] the Receivables Purchase Agreement and upon the terms and subject to the conditions set forth in the Receivables Purchase Agreement, the [      ] Purchasers agree to [become Purchasers thereunder] [increase its Commitment in an amount equal to the amount set forth as the “Commitment” under the signature of the [      ] Related Committed Purchaser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-445770</wp:posOffset>
            </wp:positionV>
            <wp:extent cx="34290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1802765</wp:posOffset>
            </wp:positionH>
            <wp:positionV relativeFrom="paragraph">
              <wp:posOffset>-445770</wp:posOffset>
            </wp:positionV>
            <wp:extent cx="34290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6444615</wp:posOffset>
            </wp:positionH>
            <wp:positionV relativeFrom="paragraph">
              <wp:posOffset>-308610</wp:posOffset>
            </wp:positionV>
            <wp:extent cx="34290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942975</wp:posOffset>
            </wp:positionH>
            <wp:positionV relativeFrom="paragraph">
              <wp:posOffset>-34290</wp:posOffset>
            </wp:positionV>
            <wp:extent cx="34290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Seller hereby represents and warrants to the [         ] Purchasers as of the date hereof,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2342515</wp:posOffset>
            </wp:positionH>
            <wp:positionV relativeFrom="paragraph">
              <wp:posOffset>-7620</wp:posOffset>
            </wp:positionV>
            <wp:extent cx="34290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97" w:lineRule="exact"/>
        <w:rPr>
          <w:sz w:val="20"/>
          <w:szCs w:val="20"/>
          <w:color w:val="auto"/>
        </w:rPr>
      </w:pPr>
    </w:p>
    <w:p>
      <w:pPr>
        <w:ind w:right="80" w:firstLine="436"/>
        <w:spacing w:after="0" w:line="266" w:lineRule="auto"/>
        <w:tabs>
          <w:tab w:leader="none" w:pos="655"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contained in </w:t>
      </w:r>
      <w:r>
        <w:rPr>
          <w:rFonts w:ascii="Times New Roman" w:cs="Times New Roman" w:eastAsia="Times New Roman" w:hAnsi="Times New Roman"/>
          <w:sz w:val="18"/>
          <w:szCs w:val="18"/>
          <w:u w:val="single" w:color="auto"/>
          <w:color w:val="auto"/>
        </w:rPr>
        <w:t>Exhibit III</w:t>
      </w:r>
      <w:r>
        <w:rPr>
          <w:rFonts w:ascii="Times New Roman" w:cs="Times New Roman" w:eastAsia="Times New Roman" w:hAnsi="Times New Roman"/>
          <w:sz w:val="18"/>
          <w:szCs w:val="18"/>
          <w:color w:val="auto"/>
        </w:rPr>
        <w:t xml:space="preserve"> of the Receivables Purchase Agreement are correct in all material respects on and as of such dates as though made on and as of such dates and shall be deemed to have been made on such dates;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representation and warranty relates solely to an earlier date, such representation and warranty was correct in all material respects as of such earlier date;</w:t>
      </w:r>
    </w:p>
    <w:p>
      <w:pPr>
        <w:spacing w:after="0" w:line="6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Termination Event or Unmatured Termination Event has occurred and is continuing, or would result from such purchase; and</w:t>
      </w:r>
    </w:p>
    <w:p>
      <w:pPr>
        <w:spacing w:after="0" w:line="117"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Facility Termination Date shall not have occurred.</w:t>
      </w:r>
    </w:p>
    <w:p>
      <w:pPr>
        <w:spacing w:after="0" w:line="225"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 Upon execution and delivery of this Assumption Agreement by the Seller and each member of the [      ] Purchaser Group, satisfaction of the other conditions to assignment specified in </w:t>
      </w:r>
      <w:r>
        <w:rPr>
          <w:rFonts w:ascii="Times New Roman" w:cs="Times New Roman" w:eastAsia="Times New Roman" w:hAnsi="Times New Roman"/>
          <w:sz w:val="18"/>
          <w:szCs w:val="18"/>
          <w:u w:val="single" w:color="auto"/>
          <w:color w:val="auto"/>
        </w:rPr>
        <w:t>Section 1.2(e)</w:t>
      </w:r>
      <w:r>
        <w:rPr>
          <w:rFonts w:ascii="Times New Roman" w:cs="Times New Roman" w:eastAsia="Times New Roman" w:hAnsi="Times New Roman"/>
          <w:sz w:val="18"/>
          <w:szCs w:val="18"/>
          <w:color w:val="auto"/>
        </w:rPr>
        <w:t xml:space="preserve"> of the Receivables Purchase Agreement (including the consent of the Administrator and each of the other Purchasers party thereto) and receipt by the Administrator of counterparts of this Agreement (whether by facsimile or otherwise) executed by each of the parties hereto, [the [      ] Purchasers shall become a party to, and have the rights and obligations of Purchasers under, the Receivables Purchase Agreement] [the [      ] Related Committed Purchaser shall increase its Commitment in the amount set forth as the “Commitment” under the signature of the [      ] Related Committed Purchaser,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5458460</wp:posOffset>
            </wp:positionH>
            <wp:positionV relativeFrom="paragraph">
              <wp:posOffset>-717550</wp:posOffset>
            </wp:positionV>
            <wp:extent cx="34290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2658745</wp:posOffset>
            </wp:positionH>
            <wp:positionV relativeFrom="paragraph">
              <wp:posOffset>-306070</wp:posOffset>
            </wp:positionV>
            <wp:extent cx="34290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-168910</wp:posOffset>
            </wp:positionV>
            <wp:extent cx="3429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1964690</wp:posOffset>
            </wp:positionH>
            <wp:positionV relativeFrom="paragraph">
              <wp:posOffset>-31750</wp:posOffset>
            </wp:positionV>
            <wp:extent cx="34290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300" w:name="page301"/>
    <w:bookmarkEnd w:id="300"/>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 Each party hereto hereby covenants and agrees that it will not institute against, or join any other Person in instituting against, any Conduit Purchaser, any bankruptcy, reorganization, arrangement, insolvency or liquidation proceeding, or other proceeding under any federal or state bankruptcy or similar law, for one year and one day after the latest maturing Notes issued by such Conduit Purchaser is paid in full. The covenant contained in this paragraph shall survive any termination of the Receivables Purchase Agreement.</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SECTION 4. THIS AGREEMENT SHALL BE GOVERNED BY THE INTERNAL LAWS OF THE STATE OF NEW YORK. This Agreement may not be amended, supplemented or waived except pursuant to a writing signed by the party to be charged. This Agreement may be executed in counterparts, and by the different parties on different counterparts, each of which shall constitute an original, but all together shall constitute one and the same agreement.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(continued on following page)</w:t>
      </w:r>
    </w:p>
    <w:p>
      <w:pPr>
        <w:sectPr>
          <w:pgSz w:w="11900" w:h="16838" w:orient="portrait"/>
          <w:cols w:equalWidth="0" w:num="1">
            <w:col w:w="10960"/>
          </w:cols>
          <w:pgMar w:left="440" w:top="270" w:right="49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executed this Agreement by their duly authorized officers as of the date first above written.</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[___________], as a Conduit Purchaser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 xml:space="preserve">Name Printed: 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4813300</wp:posOffset>
            </wp:positionH>
            <wp:positionV relativeFrom="paragraph">
              <wp:posOffset>-7620</wp:posOffset>
            </wp:positionV>
            <wp:extent cx="114300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 xml:space="preserve">Title: 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4393565</wp:posOffset>
            </wp:positionH>
            <wp:positionV relativeFrom="paragraph">
              <wp:posOffset>-19050</wp:posOffset>
            </wp:positionV>
            <wp:extent cx="154241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542415" cy="8255"/>
                    </a:xfrm>
                    <a:prstGeom prst="rect">
                      <a:avLst/>
                    </a:prstGeom>
                    <a:noFill/>
                  </pic:spPr>
                </pic:pic>
              </a:graphicData>
            </a:graphic>
          </wp:anchor>
        </w:drawing>
      </w:r>
    </w:p>
    <w:p>
      <w:pPr>
        <w:spacing w:after="0" w:line="18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[___________], as a Related Committed Purchaser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 xml:space="preserve">Name Printed: 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4813300</wp:posOffset>
            </wp:positionH>
            <wp:positionV relativeFrom="paragraph">
              <wp:posOffset>-7620</wp:posOffset>
            </wp:positionV>
            <wp:extent cx="11430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 xml:space="preserve">Title: 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4393565</wp:posOffset>
            </wp:positionH>
            <wp:positionV relativeFrom="paragraph">
              <wp:posOffset>-19050</wp:posOffset>
            </wp:positionV>
            <wp:extent cx="154241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542415" cy="8255"/>
                    </a:xfrm>
                    <a:prstGeom prst="rect">
                      <a:avLst/>
                    </a:prstGeom>
                    <a:noFill/>
                  </pic:spPr>
                </pic:pic>
              </a:graphicData>
            </a:graphic>
          </wp:anchor>
        </w:drawing>
      </w:r>
    </w:p>
    <w:p>
      <w:pPr>
        <w:spacing w:after="0" w:line="18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[Commitment]</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[_____________], as Purchaser Agent for [_________]</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 xml:space="preserve">Name Printed: 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4813300</wp:posOffset>
            </wp:positionH>
            <wp:positionV relativeFrom="paragraph">
              <wp:posOffset>-7620</wp:posOffset>
            </wp:positionV>
            <wp:extent cx="114300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 xml:space="preserve">Title: 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4393565</wp:posOffset>
            </wp:positionH>
            <wp:positionV relativeFrom="paragraph">
              <wp:posOffset>-19050</wp:posOffset>
            </wp:positionV>
            <wp:extent cx="154241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542415" cy="8255"/>
                    </a:xfrm>
                    <a:prstGeom prst="rect">
                      <a:avLst/>
                    </a:prstGeom>
                    <a:noFill/>
                  </pic:spPr>
                </pic:pic>
              </a:graphicData>
            </a:graphic>
          </wp:anchor>
        </w:drawing>
      </w:r>
    </w:p>
    <w:p>
      <w:pPr>
        <w:spacing w:after="0" w:line="18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[Address]</w:t>
      </w:r>
    </w:p>
    <w:p>
      <w:pPr>
        <w:spacing w:after="0" w:line="15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ANNEX D</w:t>
      </w:r>
    </w:p>
    <w:p>
      <w:pPr>
        <w:sectPr>
          <w:pgSz w:w="11900" w:h="16838" w:orient="portrait"/>
          <w:cols w:equalWidth="0" w:num="1">
            <w:col w:w="10220"/>
          </w:cols>
          <w:pgMar w:left="880" w:top="270" w:right="79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WESCO RECEIVABLES CORP., as Seller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60" w:type="dxa"/>
            <w:vAlign w:val="bottom"/>
          </w:tcPr>
          <w:p>
            <w:pPr>
              <w:spacing w:after="0"/>
              <w:rPr>
                <w:sz w:val="15"/>
                <w:szCs w:val="15"/>
                <w:color w:val="auto"/>
              </w:rPr>
            </w:pPr>
          </w:p>
        </w:tc>
        <w:tc>
          <w:tcPr>
            <w:tcW w:w="1540" w:type="dxa"/>
            <w:vAlign w:val="bottom"/>
            <w:tcBorders>
              <w:top w:val="single" w:sz="8" w:color="auto"/>
            </w:tcBorders>
            <w:gridSpan w:val="3"/>
          </w:tcPr>
          <w:p>
            <w:pPr>
              <w:spacing w:after="0" w:line="182" w:lineRule="exact"/>
              <w:rPr>
                <w:sz w:val="20"/>
                <w:szCs w:val="20"/>
                <w:color w:val="auto"/>
              </w:rPr>
            </w:pPr>
            <w:r>
              <w:rPr>
                <w:rFonts w:ascii="Times New Roman" w:cs="Times New Roman" w:eastAsia="Times New Roman" w:hAnsi="Times New Roman"/>
                <w:sz w:val="18"/>
                <w:szCs w:val="18"/>
                <w:color w:val="auto"/>
              </w:rPr>
              <w:t xml:space="preserve">Name Printed:       </w:t>
            </w:r>
          </w:p>
        </w:tc>
        <w:tc>
          <w:tcPr>
            <w:tcW w:w="180" w:type="dxa"/>
            <w:vAlign w:val="bottom"/>
            <w:tcBorders>
              <w:top w:val="single" w:sz="8" w:color="auto"/>
            </w:tcBorders>
          </w:tcPr>
          <w:p>
            <w:pPr>
              <w:ind w:left="40"/>
              <w:spacing w:after="0" w:line="183" w:lineRule="exact"/>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line="183" w:lineRule="exact"/>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line="183" w:lineRule="exact"/>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line="183" w:lineRule="exact"/>
              <w:rPr>
                <w:sz w:val="20"/>
                <w:szCs w:val="20"/>
                <w:color w:val="auto"/>
              </w:rPr>
            </w:pPr>
            <w:r>
              <w:rPr>
                <w:rFonts w:ascii="Times New Roman" w:cs="Times New Roman" w:eastAsia="Times New Roman" w:hAnsi="Times New Roman"/>
                <w:sz w:val="17"/>
                <w:szCs w:val="17"/>
                <w:color w:val="auto"/>
                <w:w w:val="70"/>
              </w:rPr>
              <w:t> </w:t>
            </w:r>
          </w:p>
        </w:tc>
        <w:tc>
          <w:tcPr>
            <w:tcW w:w="280" w:type="dxa"/>
            <w:vAlign w:val="bottom"/>
            <w:tcBorders>
              <w:top w:val="single" w:sz="8" w:color="auto"/>
            </w:tcBorders>
          </w:tcPr>
          <w:p>
            <w:pPr>
              <w:ind w:left="40"/>
              <w:spacing w:after="0" w:line="182"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920" w:type="dxa"/>
            <w:vAlign w:val="bottom"/>
            <w:tcBorders>
              <w:top w:val="single" w:sz="8" w:color="auto"/>
            </w:tcBorders>
            <w:gridSpan w:val="2"/>
          </w:tcPr>
          <w:p>
            <w:pPr>
              <w:ind w:left="80"/>
              <w:spacing w:after="0" w:line="182" w:lineRule="exact"/>
              <w:rPr>
                <w:sz w:val="20"/>
                <w:szCs w:val="20"/>
                <w:color w:val="auto"/>
              </w:rPr>
            </w:pPr>
            <w:r>
              <w:rPr>
                <w:rFonts w:ascii="Times New Roman" w:cs="Times New Roman" w:eastAsia="Times New Roman" w:hAnsi="Times New Roman"/>
                <w:sz w:val="18"/>
                <w:szCs w:val="18"/>
                <w:color w:val="auto"/>
              </w:rPr>
              <w:t> </w:t>
            </w:r>
          </w:p>
        </w:tc>
      </w:tr>
      <w:tr>
        <w:trPr>
          <w:trHeight w:val="20"/>
        </w:trPr>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5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 xml:space="preserve">Title: 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92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 </w:t>
            </w:r>
          </w:p>
        </w:tc>
      </w:tr>
      <w:tr>
        <w:trPr>
          <w:trHeight w:val="20"/>
        </w:trPr>
        <w:tc>
          <w:tcPr>
            <w:tcW w:w="760" w:type="dxa"/>
            <w:vAlign w:val="bottom"/>
            <w:gridSpan w:val="2"/>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tcBorders>
              <w:left w:val="single" w:sz="8" w:color="auto"/>
            </w:tcBorders>
          </w:tcPr>
          <w:p>
            <w:pPr>
              <w:spacing w:after="0" w:line="20" w:lineRule="exact"/>
              <w:rPr>
                <w:sz w:val="1"/>
                <w:szCs w:val="1"/>
                <w:color w:val="auto"/>
              </w:rPr>
            </w:pPr>
          </w:p>
        </w:tc>
      </w:tr>
      <w:tr>
        <w:trPr>
          <w:trHeight w:val="453"/>
        </w:trPr>
        <w:tc>
          <w:tcPr>
            <w:tcW w:w="1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Consented and Agreed:</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BANK, NATIONAL ASSOCIATION,as Administrator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60" w:type="dxa"/>
            <w:vAlign w:val="bottom"/>
          </w:tcPr>
          <w:p>
            <w:pPr>
              <w:spacing w:after="0"/>
              <w:rPr>
                <w:sz w:val="15"/>
                <w:szCs w:val="15"/>
                <w:color w:val="auto"/>
              </w:rPr>
            </w:pPr>
          </w:p>
        </w:tc>
        <w:tc>
          <w:tcPr>
            <w:tcW w:w="1540" w:type="dxa"/>
            <w:vAlign w:val="bottom"/>
            <w:tcBorders>
              <w:top w:val="single" w:sz="8" w:color="auto"/>
            </w:tcBorders>
            <w:gridSpan w:val="3"/>
          </w:tcPr>
          <w:p>
            <w:pPr>
              <w:spacing w:after="0" w:line="182" w:lineRule="exact"/>
              <w:rPr>
                <w:sz w:val="20"/>
                <w:szCs w:val="20"/>
                <w:color w:val="auto"/>
              </w:rPr>
            </w:pPr>
            <w:r>
              <w:rPr>
                <w:rFonts w:ascii="Times New Roman" w:cs="Times New Roman" w:eastAsia="Times New Roman" w:hAnsi="Times New Roman"/>
                <w:sz w:val="18"/>
                <w:szCs w:val="18"/>
                <w:color w:val="auto"/>
              </w:rPr>
              <w:t xml:space="preserve">Name Printed:       </w:t>
            </w:r>
          </w:p>
        </w:tc>
        <w:tc>
          <w:tcPr>
            <w:tcW w:w="180" w:type="dxa"/>
            <w:vAlign w:val="bottom"/>
            <w:tcBorders>
              <w:top w:val="single" w:sz="8" w:color="auto"/>
            </w:tcBorders>
          </w:tcPr>
          <w:p>
            <w:pPr>
              <w:ind w:left="40"/>
              <w:spacing w:after="0" w:line="183" w:lineRule="exact"/>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line="183" w:lineRule="exact"/>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line="183" w:lineRule="exact"/>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line="183" w:lineRule="exact"/>
              <w:rPr>
                <w:sz w:val="20"/>
                <w:szCs w:val="20"/>
                <w:color w:val="auto"/>
              </w:rPr>
            </w:pPr>
            <w:r>
              <w:rPr>
                <w:rFonts w:ascii="Times New Roman" w:cs="Times New Roman" w:eastAsia="Times New Roman" w:hAnsi="Times New Roman"/>
                <w:sz w:val="17"/>
                <w:szCs w:val="17"/>
                <w:color w:val="auto"/>
                <w:w w:val="70"/>
              </w:rPr>
              <w:t> </w:t>
            </w:r>
          </w:p>
        </w:tc>
        <w:tc>
          <w:tcPr>
            <w:tcW w:w="280" w:type="dxa"/>
            <w:vAlign w:val="bottom"/>
            <w:tcBorders>
              <w:top w:val="single" w:sz="8" w:color="auto"/>
            </w:tcBorders>
          </w:tcPr>
          <w:p>
            <w:pPr>
              <w:ind w:left="40"/>
              <w:spacing w:after="0" w:line="182"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920" w:type="dxa"/>
            <w:vAlign w:val="bottom"/>
            <w:tcBorders>
              <w:top w:val="single" w:sz="8" w:color="auto"/>
            </w:tcBorders>
            <w:gridSpan w:val="2"/>
          </w:tcPr>
          <w:p>
            <w:pPr>
              <w:ind w:left="80"/>
              <w:spacing w:after="0" w:line="182" w:lineRule="exact"/>
              <w:rPr>
                <w:sz w:val="20"/>
                <w:szCs w:val="20"/>
                <w:color w:val="auto"/>
              </w:rPr>
            </w:pPr>
            <w:r>
              <w:rPr>
                <w:rFonts w:ascii="Times New Roman" w:cs="Times New Roman" w:eastAsia="Times New Roman" w:hAnsi="Times New Roman"/>
                <w:sz w:val="18"/>
                <w:szCs w:val="18"/>
                <w:color w:val="auto"/>
              </w:rPr>
              <w:t> </w:t>
            </w:r>
          </w:p>
        </w:tc>
      </w:tr>
      <w:tr>
        <w:trPr>
          <w:trHeight w:val="20"/>
        </w:trPr>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5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 xml:space="preserve">Title: 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92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 </w:t>
            </w:r>
          </w:p>
        </w:tc>
      </w:tr>
      <w:tr>
        <w:trPr>
          <w:trHeight w:val="20"/>
        </w:trPr>
        <w:tc>
          <w:tcPr>
            <w:tcW w:w="760" w:type="dxa"/>
            <w:vAlign w:val="bottom"/>
            <w:gridSpan w:val="2"/>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tcBorders>
              <w:left w:val="single" w:sz="8" w:color="auto"/>
            </w:tcBorders>
          </w:tcPr>
          <w:p>
            <w:pPr>
              <w:spacing w:after="0" w:line="20" w:lineRule="exact"/>
              <w:rPr>
                <w:sz w:val="1"/>
                <w:szCs w:val="1"/>
                <w:color w:val="auto"/>
              </w:rPr>
            </w:pPr>
          </w:p>
        </w:tc>
      </w:tr>
      <w:tr>
        <w:trPr>
          <w:trHeight w:val="453"/>
        </w:trPr>
        <w:tc>
          <w:tcPr>
            <w:tcW w:w="1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Consented and Agreed:</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32"/>
        </w:trPr>
        <w:tc>
          <w:tcPr>
            <w:tcW w:w="1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PURCHASERS]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130" w:lineRule="exact"/>
        <w:rPr>
          <w:sz w:val="20"/>
          <w:szCs w:val="20"/>
          <w:color w:val="auto"/>
        </w:rPr>
      </w:pPr>
    </w:p>
    <w:p>
      <w:pPr>
        <w:jc w:val="right"/>
        <w:ind w:right="4119"/>
        <w:spacing w:after="0"/>
        <w:rPr>
          <w:sz w:val="20"/>
          <w:szCs w:val="20"/>
          <w:color w:val="auto"/>
        </w:rPr>
      </w:pPr>
      <w:r>
        <w:rPr>
          <w:rFonts w:ascii="Times New Roman" w:cs="Times New Roman" w:eastAsia="Times New Roman" w:hAnsi="Times New Roman"/>
          <w:sz w:val="18"/>
          <w:szCs w:val="18"/>
          <w:color w:val="auto"/>
        </w:rPr>
        <w:t>ANNEX D</w:t>
      </w:r>
    </w:p>
    <w:p>
      <w:pPr>
        <w:sectPr>
          <w:pgSz w:w="11900" w:h="16838" w:orient="portrait"/>
          <w:cols w:equalWidth="0" w:num="1">
            <w:col w:w="10019"/>
          </w:cols>
          <w:pgMar w:left="440" w:top="270" w:right="1440" w:bottom="1440" w:gutter="0" w:footer="0" w:header="0"/>
        </w:sectPr>
      </w:pPr>
    </w:p>
    <w:bookmarkStart w:id="303" w:name="page304"/>
    <w:bookmarkEnd w:id="303"/>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Fifth Amended And Restated Receivables Purchase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OF TRANSFER SUPPLEMENT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E</w:t>
      </w:r>
    </w:p>
    <w:p>
      <w:pPr>
        <w:sectPr>
          <w:pgSz w:w="11900" w:h="16838" w:orient="portrait"/>
          <w:cols w:equalWidth="0" w:num="1">
            <w:col w:w="9019"/>
          </w:cols>
          <w:pgMar w:left="1440" w:top="270" w:right="1440" w:bottom="1440" w:gutter="0" w:footer="0" w:header="0"/>
        </w:sectPr>
      </w:pPr>
    </w:p>
    <w:bookmarkStart w:id="304" w:name="page305"/>
    <w:bookmarkEnd w:id="304"/>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E</w:t>
      </w:r>
    </w:p>
    <w:p>
      <w:pPr>
        <w:spacing w:after="0" w:line="22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Form of Transfer Supplement</w:t>
      </w:r>
    </w:p>
    <w:p>
      <w:pPr>
        <w:spacing w:after="0" w:line="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with respect to</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WESCO Receivables Corp.</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Receivables Purchase Agreement</w:t>
      </w:r>
    </w:p>
    <w:p>
      <w:pPr>
        <w:spacing w:after="0" w:line="194"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6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[               ,          ]</w:t>
            </w:r>
          </w:p>
        </w:tc>
        <w:tc>
          <w:tcPr>
            <w:tcW w:w="1920" w:type="dxa"/>
            <w:vAlign w:val="bottom"/>
          </w:tcPr>
          <w:p>
            <w:pPr>
              <w:spacing w:after="0"/>
              <w:rPr>
                <w:sz w:val="17"/>
                <w:szCs w:val="17"/>
                <w:color w:val="auto"/>
              </w:rPr>
            </w:pPr>
          </w:p>
        </w:tc>
      </w:tr>
      <w:tr>
        <w:trPr>
          <w:trHeight w:val="412"/>
        </w:trPr>
        <w:tc>
          <w:tcPr>
            <w:tcW w:w="4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Section 1.</w:t>
            </w:r>
          </w:p>
        </w:tc>
        <w:tc>
          <w:tcPr>
            <w:tcW w:w="9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63"/>
        </w:trPr>
        <w:tc>
          <w:tcPr>
            <w:tcW w:w="680" w:type="dxa"/>
            <w:vAlign w:val="bottom"/>
            <w:tcBorders>
              <w:top w:val="single" w:sz="8" w:color="auto"/>
            </w:tcBorders>
          </w:tcPr>
          <w:p>
            <w:pPr>
              <w:spacing w:after="0"/>
              <w:rPr>
                <w:sz w:val="22"/>
                <w:szCs w:val="22"/>
                <w:color w:val="auto"/>
              </w:rPr>
            </w:pPr>
          </w:p>
        </w:tc>
        <w:tc>
          <w:tcPr>
            <w:tcW w:w="10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16"/>
        </w:trPr>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60" w:type="dxa"/>
            <w:vAlign w:val="bottom"/>
            <w:gridSpan w:val="7"/>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[Commitment assigned:</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$_________</w:t>
            </w:r>
          </w:p>
        </w:tc>
      </w:tr>
      <w:tr>
        <w:trPr>
          <w:trHeight w:val="216"/>
        </w:trPr>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60" w:type="dxa"/>
            <w:vAlign w:val="bottom"/>
            <w:gridSpan w:val="7"/>
          </w:tcPr>
          <w:p>
            <w:pPr>
              <w:ind w:left="360"/>
              <w:spacing w:after="0"/>
              <w:rPr>
                <w:sz w:val="20"/>
                <w:szCs w:val="20"/>
                <w:color w:val="auto"/>
              </w:rPr>
            </w:pPr>
            <w:r>
              <w:rPr>
                <w:rFonts w:ascii="Times New Roman" w:cs="Times New Roman" w:eastAsia="Times New Roman" w:hAnsi="Times New Roman"/>
                <w:sz w:val="18"/>
                <w:szCs w:val="18"/>
                <w:color w:val="auto"/>
              </w:rPr>
              <w:t>Assignor’s remaining Commitment: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w:t>
            </w:r>
          </w:p>
        </w:tc>
      </w:tr>
      <w:tr>
        <w:trPr>
          <w:trHeight w:val="216"/>
        </w:trPr>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60" w:type="dxa"/>
            <w:vAlign w:val="bottom"/>
            <w:gridSpan w:val="7"/>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allocable to Commitment assigned:</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$_________</w:t>
            </w:r>
          </w:p>
        </w:tc>
      </w:tr>
      <w:tr>
        <w:trPr>
          <w:trHeight w:val="216"/>
        </w:trPr>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60" w:type="dxa"/>
            <w:vAlign w:val="bottom"/>
            <w:gridSpan w:val="7"/>
          </w:tcPr>
          <w:p>
            <w:pPr>
              <w:spacing w:after="0" w:line="216" w:lineRule="exact"/>
              <w:rPr>
                <w:sz w:val="20"/>
                <w:szCs w:val="20"/>
                <w:color w:val="auto"/>
              </w:rPr>
            </w:pPr>
            <w:r>
              <w:rPr>
                <w:rFonts w:ascii="Times New Roman" w:cs="Times New Roman" w:eastAsia="Times New Roman" w:hAnsi="Times New Roman"/>
                <w:sz w:val="17"/>
                <w:szCs w:val="17"/>
                <w:color w:val="auto"/>
              </w:rPr>
              <w:t>Investment assigned:]</w:t>
            </w:r>
            <w:r>
              <w:rPr>
                <w:rFonts w:ascii="Times New Roman" w:cs="Times New Roman" w:eastAsia="Times New Roman" w:hAnsi="Times New Roman"/>
                <w:sz w:val="25"/>
                <w:szCs w:val="25"/>
                <w:color w:val="auto"/>
                <w:vertAlign w:val="superscript"/>
              </w:rPr>
              <w:t>1</w:t>
            </w:r>
          </w:p>
        </w:tc>
        <w:tc>
          <w:tcPr>
            <w:tcW w:w="192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60" w:type="dxa"/>
            <w:vAlign w:val="bottom"/>
            <w:gridSpan w:val="7"/>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Assignor’s remaining Investment: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$_________</w:t>
            </w:r>
          </w:p>
        </w:tc>
      </w:tr>
      <w:tr>
        <w:trPr>
          <w:trHeight w:val="216"/>
        </w:trPr>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Discount (if any) allocable to Investment assigned:</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w:t>
            </w:r>
          </w:p>
        </w:tc>
      </w:tr>
      <w:tr>
        <w:trPr>
          <w:trHeight w:val="216"/>
        </w:trPr>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(if any) allocable to Assignor’s remaining Investment: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$_________</w:t>
            </w:r>
          </w:p>
        </w:tc>
      </w:tr>
      <w:tr>
        <w:trPr>
          <w:trHeight w:val="499"/>
        </w:trPr>
        <w:tc>
          <w:tcPr>
            <w:tcW w:w="73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Section 2.</w:t>
            </w:r>
          </w:p>
        </w:tc>
        <w:tc>
          <w:tcPr>
            <w:tcW w:w="1920" w:type="dxa"/>
            <w:vAlign w:val="bottom"/>
          </w:tcPr>
          <w:p>
            <w:pPr>
              <w:spacing w:after="0"/>
              <w:rPr>
                <w:sz w:val="24"/>
                <w:szCs w:val="24"/>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04"/>
        </w:trPr>
        <w:tc>
          <w:tcPr>
            <w:tcW w:w="7320" w:type="dxa"/>
            <w:vAlign w:val="bottom"/>
            <w:gridSpan w:val="9"/>
          </w:tcPr>
          <w:p>
            <w:pPr>
              <w:ind w:left="220"/>
              <w:spacing w:after="0"/>
              <w:rPr>
                <w:sz w:val="20"/>
                <w:szCs w:val="20"/>
                <w:color w:val="auto"/>
              </w:rPr>
            </w:pPr>
            <w:r>
              <w:rPr>
                <w:rFonts w:ascii="Times New Roman" w:cs="Times New Roman" w:eastAsia="Times New Roman" w:hAnsi="Times New Roman"/>
                <w:sz w:val="18"/>
                <w:szCs w:val="18"/>
                <w:color w:val="auto"/>
              </w:rPr>
              <w:t>Effective Date of this Transfer Supplement: [               ]</w:t>
            </w:r>
          </w:p>
        </w:tc>
        <w:tc>
          <w:tcPr>
            <w:tcW w:w="1920" w:type="dxa"/>
            <w:vAlign w:val="bottom"/>
          </w:tcPr>
          <w:p>
            <w:pPr>
              <w:spacing w:after="0"/>
              <w:rPr>
                <w:sz w:val="24"/>
                <w:szCs w:val="24"/>
                <w:color w:val="auto"/>
              </w:rPr>
            </w:pPr>
          </w:p>
        </w:tc>
      </w:tr>
      <w:tr>
        <w:trPr>
          <w:trHeight w:val="20"/>
        </w:trPr>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117" w:lineRule="exact"/>
        <w:rPr>
          <w:sz w:val="20"/>
          <w:szCs w:val="20"/>
          <w:color w:val="auto"/>
        </w:rPr>
      </w:pPr>
    </w:p>
    <w:p>
      <w:pPr>
        <w:ind w:left="4" w:right="280" w:firstLine="440"/>
        <w:spacing w:after="0" w:line="258" w:lineRule="auto"/>
        <w:rPr>
          <w:sz w:val="20"/>
          <w:szCs w:val="20"/>
          <w:color w:val="auto"/>
        </w:rPr>
      </w:pPr>
      <w:r>
        <w:rPr>
          <w:rFonts w:ascii="Times New Roman" w:cs="Times New Roman" w:eastAsia="Times New Roman" w:hAnsi="Times New Roman"/>
          <w:sz w:val="18"/>
          <w:szCs w:val="18"/>
          <w:color w:val="auto"/>
        </w:rPr>
        <w:t>Upon execution and delivery of this Transfer Supplement by transferee and transferor and the satisfaction of the other conditions to assignment specified in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Section 6.3(e)</w:t>
      </w:r>
      <w:r>
        <w:rPr>
          <w:rFonts w:ascii="Times New Roman" w:cs="Times New Roman" w:eastAsia="Times New Roman" w:hAnsi="Times New Roman"/>
          <w:sz w:val="18"/>
          <w:szCs w:val="18"/>
          <w:color w:val="auto"/>
        </w:rPr>
        <w:t>] of the Receivables Purchase Agreement, from and after the effective date specified above, the transferee shall become a party to, and have the rights and obligations of a [Conduit Purchaser] [Related Committed Purchaser] under, the Fifth Amended and Restated Receivables Purchase Agreement dated as of June 22, 2020 (as amended through the date hereof, the “Receivables Purchase Agreement”), among WESCO Receivables Corp., WESCO Distribution, Inc. and various other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71525"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60" w:lineRule="exact"/>
        <w:rPr>
          <w:sz w:val="20"/>
          <w:szCs w:val="20"/>
          <w:color w:val="auto"/>
        </w:rPr>
      </w:pPr>
    </w:p>
    <w:p>
      <w:pPr>
        <w:ind w:left="424" w:hanging="424"/>
        <w:spacing w:after="0"/>
        <w:tabs>
          <w:tab w:leader="none" w:pos="424" w:val="left"/>
        </w:tabs>
        <w:numPr>
          <w:ilvl w:val="0"/>
          <w:numId w:val="31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Bracketed language is only applicable to assignments by Related Committed Purchasers pursuant to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27"/>
          <w:szCs w:val="27"/>
          <w:color w:val="auto"/>
          <w:vertAlign w:val="superscript"/>
        </w:rPr>
      </w:pPr>
    </w:p>
    <w:p>
      <w:pPr>
        <w:ind w:left="5124"/>
        <w:spacing w:after="0"/>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ANNEX E</w:t>
      </w:r>
    </w:p>
    <w:p>
      <w:pPr>
        <w:sectPr>
          <w:pgSz w:w="11900" w:h="16838" w:orient="portrait"/>
          <w:cols w:equalWidth="0" w:num="1">
            <w:col w:w="11024"/>
          </w:cols>
          <w:pgMar w:left="436" w:top="270" w:right="439" w:bottom="1440" w:gutter="0" w:footer="0" w:header="0"/>
        </w:sectPr>
      </w:pPr>
    </w:p>
    <w:bookmarkStart w:id="305" w:name="page306"/>
    <w:bookmarkEnd w:id="30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ASSIGNOR: [         ], as a [Related Committed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-7620</wp:posOffset>
            </wp:positionV>
            <wp:extent cx="34290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[         ]] [Conduit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-19050</wp:posOffset>
            </wp:positionV>
            <wp:extent cx="34290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1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tbl>
      <w:tblPr>
        <w:tblLayout w:type="fixed"/>
        <w:tblInd w:w="364" w:type="dxa"/>
        <w:tblCellMar>
          <w:top w:w="0" w:type="dxa"/>
          <w:left w:w="0" w:type="dxa"/>
          <w:bottom w:w="0" w:type="dxa"/>
          <w:right w:w="0" w:type="dxa"/>
        </w:tblCellMar>
      </w:tblPr>
      <w:tr>
        <w:trPr>
          <w:trHeight w:val="183"/>
        </w:trPr>
        <w:tc>
          <w:tcPr>
            <w:tcW w:w="540" w:type="dxa"/>
            <w:vAlign w:val="bottom"/>
            <w:tcBorders>
              <w:top w:val="single" w:sz="8" w:color="auto"/>
            </w:tcBorders>
            <w:gridSpan w:val="3"/>
          </w:tcPr>
          <w:p>
            <w:pPr>
              <w:spacing w:after="0" w:line="182" w:lineRule="exact"/>
              <w:rPr>
                <w:sz w:val="20"/>
                <w:szCs w:val="20"/>
                <w:color w:val="auto"/>
              </w:rPr>
            </w:pPr>
            <w:r>
              <w:rPr>
                <w:rFonts w:ascii="Times New Roman" w:cs="Times New Roman" w:eastAsia="Times New Roman" w:hAnsi="Times New Roman"/>
                <w:sz w:val="18"/>
                <w:szCs w:val="18"/>
                <w:color w:val="auto"/>
                <w:w w:val="78"/>
              </w:rPr>
              <w:t>Name: 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w w:val="77"/>
              </w:rPr>
              <w:t> </w:t>
            </w:r>
          </w:p>
        </w:tc>
        <w:tc>
          <w:tcPr>
            <w:tcW w:w="30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940" w:type="dxa"/>
            <w:vAlign w:val="bottom"/>
            <w:tcBorders>
              <w:top w:val="single" w:sz="8" w:color="auto"/>
            </w:tcBorders>
            <w:gridSpan w:val="2"/>
          </w:tcPr>
          <w:p>
            <w:pPr>
              <w:ind w:left="80"/>
              <w:spacing w:after="0" w:line="182" w:lineRule="exact"/>
              <w:rPr>
                <w:sz w:val="20"/>
                <w:szCs w:val="20"/>
                <w:color w:val="auto"/>
              </w:rPr>
            </w:pPr>
            <w:r>
              <w:rPr>
                <w:rFonts w:ascii="Times New Roman" w:cs="Times New Roman" w:eastAsia="Times New Roman" w:hAnsi="Times New Roman"/>
                <w:sz w:val="18"/>
                <w:szCs w:val="18"/>
                <w:color w:val="auto"/>
              </w:rPr>
              <w:t> </w:t>
            </w:r>
          </w:p>
        </w:tc>
      </w:tr>
      <w:tr>
        <w:trPr>
          <w:trHeight w:val="196"/>
        </w:trPr>
        <w:tc>
          <w:tcPr>
            <w:tcW w:w="4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w w:val="80"/>
              </w:rPr>
              <w:t>Title: </w:t>
            </w:r>
          </w:p>
        </w:tc>
        <w:tc>
          <w:tcPr>
            <w:tcW w:w="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280" w:type="dxa"/>
            <w:vAlign w:val="bottom"/>
            <w:tcBorders>
              <w:top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3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Borders>
              <w:top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68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ASSIGNEE: [         ], as a [Related Committed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650875</wp:posOffset>
            </wp:positionH>
            <wp:positionV relativeFrom="paragraph">
              <wp:posOffset>-7620</wp:posOffset>
            </wp:positionV>
            <wp:extent cx="34290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[         ]] [Conduit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-19050</wp:posOffset>
            </wp:positionV>
            <wp:extent cx="34290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1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tbl>
      <w:tblPr>
        <w:tblLayout w:type="fixed"/>
        <w:tblInd w:w="364" w:type="dxa"/>
        <w:tblCellMar>
          <w:top w:w="0" w:type="dxa"/>
          <w:left w:w="0" w:type="dxa"/>
          <w:bottom w:w="0" w:type="dxa"/>
          <w:right w:w="0" w:type="dxa"/>
        </w:tblCellMar>
      </w:tblPr>
      <w:tr>
        <w:trPr>
          <w:trHeight w:val="183"/>
        </w:trPr>
        <w:tc>
          <w:tcPr>
            <w:tcW w:w="540" w:type="dxa"/>
            <w:vAlign w:val="bottom"/>
            <w:tcBorders>
              <w:top w:val="single" w:sz="8" w:color="auto"/>
            </w:tcBorders>
            <w:gridSpan w:val="3"/>
          </w:tcPr>
          <w:p>
            <w:pPr>
              <w:spacing w:after="0" w:line="182" w:lineRule="exact"/>
              <w:rPr>
                <w:sz w:val="20"/>
                <w:szCs w:val="20"/>
                <w:color w:val="auto"/>
              </w:rPr>
            </w:pPr>
            <w:r>
              <w:rPr>
                <w:rFonts w:ascii="Times New Roman" w:cs="Times New Roman" w:eastAsia="Times New Roman" w:hAnsi="Times New Roman"/>
                <w:sz w:val="18"/>
                <w:szCs w:val="18"/>
                <w:color w:val="auto"/>
                <w:w w:val="78"/>
              </w:rPr>
              <w:t>Name: 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w w:val="77"/>
              </w:rPr>
              <w:t> </w:t>
            </w:r>
          </w:p>
        </w:tc>
        <w:tc>
          <w:tcPr>
            <w:tcW w:w="30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940" w:type="dxa"/>
            <w:vAlign w:val="bottom"/>
            <w:tcBorders>
              <w:top w:val="single" w:sz="8" w:color="auto"/>
            </w:tcBorders>
            <w:gridSpan w:val="2"/>
          </w:tcPr>
          <w:p>
            <w:pPr>
              <w:ind w:left="80"/>
              <w:spacing w:after="0" w:line="182" w:lineRule="exact"/>
              <w:rPr>
                <w:sz w:val="20"/>
                <w:szCs w:val="20"/>
                <w:color w:val="auto"/>
              </w:rPr>
            </w:pPr>
            <w:r>
              <w:rPr>
                <w:rFonts w:ascii="Times New Roman" w:cs="Times New Roman" w:eastAsia="Times New Roman" w:hAnsi="Times New Roman"/>
                <w:sz w:val="18"/>
                <w:szCs w:val="18"/>
                <w:color w:val="auto"/>
              </w:rPr>
              <w:t> </w:t>
            </w:r>
          </w:p>
        </w:tc>
      </w:tr>
      <w:tr>
        <w:trPr>
          <w:trHeight w:val="196"/>
        </w:trPr>
        <w:tc>
          <w:tcPr>
            <w:tcW w:w="4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w w:val="80"/>
              </w:rPr>
              <w:t>Title: </w:t>
            </w:r>
          </w:p>
        </w:tc>
        <w:tc>
          <w:tcPr>
            <w:tcW w:w="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280" w:type="dxa"/>
            <w:vAlign w:val="bottom"/>
            <w:tcBorders>
              <w:top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3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Borders>
              <w:top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68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[Commitment Assigned]</w:t>
      </w:r>
      <w:r>
        <w:rPr>
          <w:rFonts w:ascii="Times New Roman" w:cs="Times New Roman" w:eastAsia="Times New Roman" w:hAnsi="Times New Roman"/>
          <w:sz w:val="26"/>
          <w:szCs w:val="26"/>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71525"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ind w:left="424" w:hanging="424"/>
        <w:spacing w:after="0"/>
        <w:tabs>
          <w:tab w:leader="none" w:pos="424" w:val="left"/>
        </w:tabs>
        <w:numPr>
          <w:ilvl w:val="0"/>
          <w:numId w:val="31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Bracketed language is only applicable to assignments by Related Committed Purchasers pursuant to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27"/>
          <w:szCs w:val="27"/>
          <w:color w:val="auto"/>
          <w:vertAlign w:val="superscript"/>
        </w:rPr>
      </w:pPr>
    </w:p>
    <w:p>
      <w:pPr>
        <w:ind w:left="5124"/>
        <w:spacing w:after="0"/>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ANNEX E</w:t>
      </w:r>
    </w:p>
    <w:p>
      <w:pPr>
        <w:sectPr>
          <w:pgSz w:w="11900" w:h="16838" w:orient="portrait"/>
          <w:cols w:equalWidth="0" w:num="1">
            <w:col w:w="10023"/>
          </w:cols>
          <w:pgMar w:left="436" w:top="270" w:right="1440"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Accepted as of date first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Purchaser Agent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 Purchaser Group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tbl>
      <w:tblPr>
        <w:tblLayout w:type="fixed"/>
        <w:tblInd w:w="360" w:type="dxa"/>
        <w:tblCellMar>
          <w:top w:w="0" w:type="dxa"/>
          <w:left w:w="0" w:type="dxa"/>
          <w:bottom w:w="0" w:type="dxa"/>
          <w:right w:w="0" w:type="dxa"/>
        </w:tblCellMar>
      </w:tblPr>
      <w:tr>
        <w:trPr>
          <w:trHeight w:val="183"/>
        </w:trPr>
        <w:tc>
          <w:tcPr>
            <w:tcW w:w="540" w:type="dxa"/>
            <w:vAlign w:val="bottom"/>
            <w:tcBorders>
              <w:top w:val="single" w:sz="8" w:color="auto"/>
            </w:tcBorders>
            <w:gridSpan w:val="3"/>
          </w:tcPr>
          <w:p>
            <w:pPr>
              <w:spacing w:after="0" w:line="182" w:lineRule="exact"/>
              <w:rPr>
                <w:sz w:val="20"/>
                <w:szCs w:val="20"/>
                <w:color w:val="auto"/>
              </w:rPr>
            </w:pPr>
            <w:r>
              <w:rPr>
                <w:rFonts w:ascii="Times New Roman" w:cs="Times New Roman" w:eastAsia="Times New Roman" w:hAnsi="Times New Roman"/>
                <w:sz w:val="18"/>
                <w:szCs w:val="18"/>
                <w:color w:val="auto"/>
                <w:w w:val="78"/>
              </w:rPr>
              <w:t>Name: 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w w:val="77"/>
              </w:rPr>
              <w:t> </w:t>
            </w:r>
          </w:p>
        </w:tc>
        <w:tc>
          <w:tcPr>
            <w:tcW w:w="880" w:type="dxa"/>
            <w:vAlign w:val="bottom"/>
            <w:tcBorders>
              <w:top w:val="single" w:sz="8" w:color="auto"/>
            </w:tcBorders>
            <w:gridSpan w:val="2"/>
          </w:tcPr>
          <w:p>
            <w:pPr>
              <w:jc w:val="right"/>
              <w:ind w:right="720"/>
              <w:spacing w:after="0" w:line="182" w:lineRule="exact"/>
              <w:rPr>
                <w:sz w:val="20"/>
                <w:szCs w:val="20"/>
                <w:color w:val="auto"/>
              </w:rPr>
            </w:pPr>
            <w:r>
              <w:rPr>
                <w:rFonts w:ascii="Times New Roman" w:cs="Times New Roman" w:eastAsia="Times New Roman" w:hAnsi="Times New Roman"/>
                <w:sz w:val="18"/>
                <w:szCs w:val="18"/>
                <w:color w:val="auto"/>
              </w:rPr>
              <w:t xml:space="preserve">   </w:t>
            </w:r>
          </w:p>
        </w:tc>
      </w:tr>
      <w:tr>
        <w:trPr>
          <w:trHeight w:val="196"/>
        </w:trPr>
        <w:tc>
          <w:tcPr>
            <w:tcW w:w="4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w w:val="80"/>
              </w:rPr>
              <w:t>Title: </w:t>
            </w:r>
          </w:p>
        </w:tc>
        <w:tc>
          <w:tcPr>
            <w:tcW w:w="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280" w:type="dxa"/>
            <w:vAlign w:val="bottom"/>
            <w:tcBorders>
              <w:top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157" w:lineRule="exact"/>
        <w:rPr>
          <w:sz w:val="20"/>
          <w:szCs w:val="20"/>
          <w:color w:val="auto"/>
        </w:rPr>
      </w:pPr>
    </w:p>
    <w:p>
      <w:pPr>
        <w:jc w:val="right"/>
        <w:ind w:right="4119"/>
        <w:spacing w:after="0"/>
        <w:rPr>
          <w:sz w:val="20"/>
          <w:szCs w:val="20"/>
          <w:color w:val="auto"/>
        </w:rPr>
      </w:pPr>
      <w:r>
        <w:rPr>
          <w:rFonts w:ascii="Times New Roman" w:cs="Times New Roman" w:eastAsia="Times New Roman" w:hAnsi="Times New Roman"/>
          <w:sz w:val="18"/>
          <w:szCs w:val="18"/>
          <w:color w:val="auto"/>
        </w:rPr>
        <w:t>ANNEX E</w:t>
      </w:r>
    </w:p>
    <w:p>
      <w:pPr>
        <w:sectPr>
          <w:pgSz w:w="11900" w:h="16838" w:orient="portrait"/>
          <w:cols w:equalWidth="0" w:num="1">
            <w:col w:w="10019"/>
          </w:cols>
          <w:pgMar w:left="440" w:top="270" w:right="1440" w:bottom="1440" w:gutter="0" w:footer="0" w:header="0"/>
        </w:sectPr>
      </w:pPr>
    </w:p>
    <w:bookmarkStart w:id="307" w:name="page308"/>
    <w:bookmarkEnd w:id="307"/>
    <w:p>
      <w:pPr>
        <w:ind w:left="414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3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[Attached]</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Exhibit B-1</w:t>
      </w:r>
    </w:p>
    <w:p>
      <w:pPr>
        <w:sectPr>
          <w:pgSz w:w="11900" w:h="16838" w:orient="portrait"/>
          <w:cols w:equalWidth="0" w:num="1">
            <w:col w:w="9019"/>
          </w:cols>
          <w:pgMar w:left="1440" w:top="266" w:right="1440" w:bottom="1440" w:gutter="0" w:footer="0" w:header="0"/>
        </w:sectPr>
      </w:pPr>
    </w:p>
    <w:bookmarkStart w:id="308" w:name="page309"/>
    <w:bookmarkEnd w:id="308"/>
    <w:p>
      <w:pPr>
        <w:ind w:left="478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 TO AMENDMENT 8, DATED AS OF MARCH 8, 2024</w:t>
      </w:r>
    </w:p>
    <w:p>
      <w:pPr>
        <w:spacing w:after="0" w:line="23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CLOSING CHECKLIST</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RENEWAL AND JOINDER OF XPRESSCONNECT SUPPLY, LLC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FIFTH AMENDED AND RESTATED RECEIVABLES PURCHASE AGREEMENT</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WESCO RECEIVABLES CORP.,</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AS SELLER</w:t>
      </w:r>
    </w:p>
    <w:p>
      <w:pPr>
        <w:spacing w:after="0" w:line="20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WESCO DISTRIBUTION, INC.,</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AS SERVICER</w:t>
      </w:r>
    </w:p>
    <w:p>
      <w:pPr>
        <w:spacing w:after="0" w:line="20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PNC BANK, NATIONAL ASSOCIATION,</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AS ADMINISTRATOR</w:t>
      </w:r>
    </w:p>
    <w:p>
      <w:pPr>
        <w:spacing w:after="0" w:line="20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THE VARIOUS CONDUIT PURCHASERS, RELATED COMMITTED PURCHASERS</w:t>
      </w:r>
    </w:p>
    <w:p>
      <w:pPr>
        <w:spacing w:after="0" w:line="4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AND PURCHASER AGENTS FROM TIME TO TIME PARTY THERETO</w:t>
      </w:r>
    </w:p>
    <w:p>
      <w:pPr>
        <w:spacing w:after="0" w:line="203"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FOR MARCH 8, 2024 CLOSING</w:t>
      </w:r>
    </w:p>
    <w:p>
      <w:pPr>
        <w:sectPr>
          <w:pgSz w:w="11900" w:h="16838" w:orient="portrait"/>
          <w:cols w:equalWidth="0" w:num="1">
            <w:col w:w="10020"/>
          </w:cols>
          <w:pgMar w:left="1440" w:top="266" w:right="439" w:bottom="1440" w:gutter="0" w:footer="0" w:header="0"/>
        </w:sectPr>
      </w:pPr>
    </w:p>
    <w:bookmarkStart w:id="309" w:name="page310"/>
    <w:bookmarkEnd w:id="309"/>
    <w:tbl>
      <w:tblPr>
        <w:tblLayout w:type="fixed"/>
        <w:tblInd w:w="0" w:type="dxa"/>
        <w:tblCellMar>
          <w:top w:w="0" w:type="dxa"/>
          <w:left w:w="0" w:type="dxa"/>
          <w:bottom w:w="0" w:type="dxa"/>
          <w:right w:w="0" w:type="dxa"/>
        </w:tblCellMar>
      </w:tblPr>
      <w:tr>
        <w:trPr>
          <w:trHeight w:val="173"/>
        </w:trPr>
        <w:tc>
          <w:tcPr>
            <w:tcW w:w="1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Abbreviations:</w:t>
            </w:r>
          </w:p>
        </w:tc>
        <w:tc>
          <w:tcPr>
            <w:tcW w:w="90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PNC Bank, National Association</w:t>
            </w:r>
          </w:p>
        </w:tc>
        <w:tc>
          <w:tcPr>
            <w:tcW w:w="0" w:type="dxa"/>
            <w:vAlign w:val="bottom"/>
          </w:tcPr>
          <w:p>
            <w:pPr>
              <w:spacing w:after="0"/>
              <w:rPr>
                <w:sz w:val="1"/>
                <w:szCs w:val="1"/>
                <w:color w:val="auto"/>
              </w:rPr>
            </w:pPr>
          </w:p>
        </w:tc>
      </w:tr>
      <w:tr>
        <w:trPr>
          <w:trHeight w:val="228"/>
        </w:trPr>
        <w:tc>
          <w:tcPr>
            <w:tcW w:w="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9"/>
              </w:rPr>
              <w:t>Administrator</w:t>
            </w:r>
          </w:p>
        </w:tc>
        <w:tc>
          <w:tcPr>
            <w:tcW w:w="1000" w:type="dxa"/>
            <w:vAlign w:val="bottom"/>
          </w:tcPr>
          <w:p>
            <w:pPr>
              <w:spacing w:after="0"/>
              <w:rPr>
                <w:sz w:val="19"/>
                <w:szCs w:val="19"/>
                <w:color w:val="auto"/>
              </w:rPr>
            </w:pPr>
          </w:p>
        </w:tc>
        <w:tc>
          <w:tcPr>
            <w:tcW w:w="9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WESCO Receivables Corp.</w:t>
            </w:r>
          </w:p>
        </w:tc>
        <w:tc>
          <w:tcPr>
            <w:tcW w:w="0" w:type="dxa"/>
            <w:vAlign w:val="bottom"/>
          </w:tcPr>
          <w:p>
            <w:pPr>
              <w:spacing w:after="0"/>
              <w:rPr>
                <w:sz w:val="1"/>
                <w:szCs w:val="1"/>
                <w:color w:val="auto"/>
              </w:rPr>
            </w:pPr>
          </w:p>
        </w:tc>
      </w:tr>
      <w:tr>
        <w:trPr>
          <w:trHeight w:val="30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Committed Purchasers</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PNC; Wells Fargo Bank, N.A.; Fifth Third Bank; The Bank of Nova Scotia; Canadian Imperial Bank of Commerce; Bank</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of America; N.A.; The Toronto-Dominion Bank, New York Branch; and HSBC Bank USA, National Association</w:t>
            </w:r>
          </w:p>
        </w:tc>
        <w:tc>
          <w:tcPr>
            <w:tcW w:w="0" w:type="dxa"/>
            <w:vAlign w:val="bottom"/>
          </w:tcPr>
          <w:p>
            <w:pPr>
              <w:spacing w:after="0"/>
              <w:rPr>
                <w:sz w:val="1"/>
                <w:szCs w:val="1"/>
                <w:color w:val="auto"/>
              </w:rPr>
            </w:pPr>
          </w:p>
        </w:tc>
      </w:tr>
      <w:tr>
        <w:trPr>
          <w:trHeight w:val="32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Conduit Purchasers</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Liberty Street Funding LLC; GTA Funding LLC; Bay Square Funding LLC; Macro Trust; and Reliant Trust</w:t>
            </w:r>
          </w:p>
        </w:tc>
        <w:tc>
          <w:tcPr>
            <w:tcW w:w="0" w:type="dxa"/>
            <w:vAlign w:val="bottom"/>
          </w:tcPr>
          <w:p>
            <w:pPr>
              <w:spacing w:after="0"/>
              <w:rPr>
                <w:sz w:val="1"/>
                <w:szCs w:val="1"/>
                <w:color w:val="auto"/>
              </w:rPr>
            </w:pPr>
          </w:p>
        </w:tc>
      </w:tr>
      <w:tr>
        <w:trPr>
          <w:trHeight w:val="30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Existing Originators</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Accu-Tech Corporation; Anixter Inc.; Anixter Power Solutions Inc.; Atlanta Electrical Distributors, LLC; Calvert Wire &amp;</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Cable Corporation; Carlton-Bates Company; Communications Supply Corporation; Conney Safety Products, LLC; Hi-</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Line Utility Supply Company, LLC; Hill Country Electric Supply, L.P.; Liberty Wire &amp; Cable, Inc.; Needham Electric</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Supply, LLC; Rahi Systems Inc; TVC Communications, L.L.C.; WESCO Distribution, Inc.; Wesco Integrated Supply,</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 and WESCO Services, LLC</w:t>
            </w:r>
          </w:p>
        </w:tc>
        <w:tc>
          <w:tcPr>
            <w:tcW w:w="0" w:type="dxa"/>
            <w:vAlign w:val="bottom"/>
          </w:tcPr>
          <w:p>
            <w:pPr>
              <w:spacing w:after="0"/>
              <w:rPr>
                <w:sz w:val="1"/>
                <w:szCs w:val="1"/>
                <w:color w:val="auto"/>
              </w:rPr>
            </w:pPr>
          </w:p>
        </w:tc>
      </w:tr>
      <w:tr>
        <w:trPr>
          <w:trHeight w:val="32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JD</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Jones Day, as counsel to the Servicer and the Company</w:t>
            </w:r>
          </w:p>
        </w:tc>
        <w:tc>
          <w:tcPr>
            <w:tcW w:w="0" w:type="dxa"/>
            <w:vAlign w:val="bottom"/>
          </w:tcPr>
          <w:p>
            <w:pPr>
              <w:spacing w:after="0"/>
              <w:rPr>
                <w:sz w:val="1"/>
                <w:szCs w:val="1"/>
                <w:color w:val="auto"/>
              </w:rPr>
            </w:pPr>
          </w:p>
        </w:tc>
      </w:tr>
      <w:tr>
        <w:trPr>
          <w:trHeight w:val="32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Lock-Box Bank</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TD Bank, N.A.</w:t>
            </w:r>
          </w:p>
        </w:tc>
        <w:tc>
          <w:tcPr>
            <w:tcW w:w="0" w:type="dxa"/>
            <w:vAlign w:val="bottom"/>
          </w:tcPr>
          <w:p>
            <w:pPr>
              <w:spacing w:after="0"/>
              <w:rPr>
                <w:sz w:val="1"/>
                <w:szCs w:val="1"/>
                <w:color w:val="auto"/>
              </w:rPr>
            </w:pPr>
          </w:p>
        </w:tc>
      </w:tr>
      <w:tr>
        <w:trPr>
          <w:trHeight w:val="32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MB</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Mayer Brown LLP</w:t>
            </w:r>
          </w:p>
        </w:tc>
        <w:tc>
          <w:tcPr>
            <w:tcW w:w="0" w:type="dxa"/>
            <w:vAlign w:val="bottom"/>
          </w:tcPr>
          <w:p>
            <w:pPr>
              <w:spacing w:after="0"/>
              <w:rPr>
                <w:sz w:val="1"/>
                <w:szCs w:val="1"/>
                <w:color w:val="auto"/>
              </w:rPr>
            </w:pPr>
          </w:p>
        </w:tc>
      </w:tr>
      <w:tr>
        <w:trPr>
          <w:trHeight w:val="32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Originator</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XpressConnect Supply, LLC, a Delaware limited liability company</w:t>
            </w:r>
          </w:p>
        </w:tc>
        <w:tc>
          <w:tcPr>
            <w:tcW w:w="0" w:type="dxa"/>
            <w:vAlign w:val="bottom"/>
          </w:tcPr>
          <w:p>
            <w:pPr>
              <w:spacing w:after="0"/>
              <w:rPr>
                <w:sz w:val="1"/>
                <w:szCs w:val="1"/>
                <w:color w:val="auto"/>
              </w:rPr>
            </w:pPr>
          </w:p>
        </w:tc>
      </w:tr>
      <w:tr>
        <w:trPr>
          <w:trHeight w:val="32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Originators</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Existing Originators and New Originator</w:t>
            </w:r>
          </w:p>
        </w:tc>
        <w:tc>
          <w:tcPr>
            <w:tcW w:w="0" w:type="dxa"/>
            <w:vAlign w:val="bottom"/>
          </w:tcPr>
          <w:p>
            <w:pPr>
              <w:spacing w:after="0"/>
              <w:rPr>
                <w:sz w:val="1"/>
                <w:szCs w:val="1"/>
                <w:color w:val="auto"/>
              </w:rPr>
            </w:pPr>
          </w:p>
        </w:tc>
      </w:tr>
      <w:tr>
        <w:trPr>
          <w:trHeight w:val="32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PNC</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PNC Bank, National Association</w:t>
            </w:r>
          </w:p>
        </w:tc>
        <w:tc>
          <w:tcPr>
            <w:tcW w:w="0" w:type="dxa"/>
            <w:vAlign w:val="bottom"/>
          </w:tcPr>
          <w:p>
            <w:pPr>
              <w:spacing w:after="0"/>
              <w:rPr>
                <w:sz w:val="1"/>
                <w:szCs w:val="1"/>
                <w:color w:val="auto"/>
              </w:rPr>
            </w:pPr>
          </w:p>
        </w:tc>
      </w:tr>
      <w:tr>
        <w:trPr>
          <w:trHeight w:val="30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Purchaser Agents</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PNC, Wells Fargo Bank, N.A.; Fifth Third Bank; The Bank of Nova Scotia; The Toronto-Dominion Bank; Bank of</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America; N.A.; Canadian Imperial Bank of Commerce, New York Branch, and HSBC Securities USA Inc.</w:t>
            </w:r>
          </w:p>
        </w:tc>
        <w:tc>
          <w:tcPr>
            <w:tcW w:w="0" w:type="dxa"/>
            <w:vAlign w:val="bottom"/>
          </w:tcPr>
          <w:p>
            <w:pPr>
              <w:spacing w:after="0"/>
              <w:rPr>
                <w:sz w:val="1"/>
                <w:szCs w:val="1"/>
                <w:color w:val="auto"/>
              </w:rPr>
            </w:pPr>
          </w:p>
        </w:tc>
      </w:tr>
      <w:tr>
        <w:trPr>
          <w:trHeight w:val="32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Purchasers</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Conduit Purchasers and Committed Purchasers</w:t>
            </w:r>
          </w:p>
        </w:tc>
        <w:tc>
          <w:tcPr>
            <w:tcW w:w="0" w:type="dxa"/>
            <w:vAlign w:val="bottom"/>
          </w:tcPr>
          <w:p>
            <w:pPr>
              <w:spacing w:after="0"/>
              <w:rPr>
                <w:sz w:val="1"/>
                <w:szCs w:val="1"/>
                <w:color w:val="auto"/>
              </w:rPr>
            </w:pPr>
          </w:p>
        </w:tc>
      </w:tr>
      <w:tr>
        <w:trPr>
          <w:trHeight w:val="32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Servicer</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WESCO Distribution, Inc.</w:t>
            </w:r>
          </w:p>
        </w:tc>
        <w:tc>
          <w:tcPr>
            <w:tcW w:w="0" w:type="dxa"/>
            <w:vAlign w:val="bottom"/>
          </w:tcPr>
          <w:p>
            <w:pPr>
              <w:spacing w:after="0"/>
              <w:rPr>
                <w:sz w:val="1"/>
                <w:szCs w:val="1"/>
                <w:color w:val="auto"/>
              </w:rPr>
            </w:pPr>
          </w:p>
        </w:tc>
      </w:tr>
      <w:tr>
        <w:trPr>
          <w:trHeight w:val="365"/>
        </w:trPr>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6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80"/>
          </w:cols>
          <w:pgMar w:left="440" w:top="263" w:right="4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310" w:name="page311"/>
    <w:bookmarkEnd w:id="310"/>
    <w:tbl>
      <w:tblPr>
        <w:tblLayout w:type="fixed"/>
        <w:tblInd w:w="0" w:type="dxa"/>
        <w:tblCellMar>
          <w:top w:w="0" w:type="dxa"/>
          <w:left w:w="0" w:type="dxa"/>
          <w:bottom w:w="0" w:type="dxa"/>
          <w:right w:w="0" w:type="dxa"/>
        </w:tblCellMar>
      </w:tblPr>
      <w:tr>
        <w:trPr>
          <w:trHeight w:val="229"/>
        </w:trPr>
        <w:tc>
          <w:tcPr>
            <w:tcW w:w="760" w:type="dxa"/>
            <w:vAlign w:val="bottom"/>
            <w:tcBorders>
              <w:bottom w:val="single" w:sz="8" w:color="auto"/>
            </w:tcBorders>
            <w:shd w:val="clear" w:color="auto" w:fill="D8D8D8"/>
          </w:tcPr>
          <w:p>
            <w:pPr>
              <w:spacing w:after="0"/>
              <w:rPr>
                <w:sz w:val="19"/>
                <w:szCs w:val="19"/>
                <w:color w:val="auto"/>
              </w:rPr>
            </w:pPr>
          </w:p>
        </w:tc>
        <w:tc>
          <w:tcPr>
            <w:tcW w:w="340" w:type="dxa"/>
            <w:vAlign w:val="bottom"/>
            <w:tcBorders>
              <w:bottom w:val="single" w:sz="8" w:color="auto"/>
            </w:tcBorders>
            <w:shd w:val="clear" w:color="auto" w:fill="D8D8D8"/>
          </w:tcPr>
          <w:p>
            <w:pPr>
              <w:spacing w:after="0"/>
              <w:rPr>
                <w:sz w:val="19"/>
                <w:szCs w:val="19"/>
                <w:color w:val="auto"/>
              </w:rPr>
            </w:pPr>
          </w:p>
        </w:tc>
        <w:tc>
          <w:tcPr>
            <w:tcW w:w="9920" w:type="dxa"/>
            <w:vAlign w:val="bottom"/>
            <w:tcBorders>
              <w:bottom w:val="single" w:sz="8" w:color="auto"/>
            </w:tcBorders>
            <w:shd w:val="clear" w:color="auto" w:fill="D8D8D8"/>
          </w:tcPr>
          <w:p>
            <w:pPr>
              <w:ind w:left="4060"/>
              <w:spacing w:after="0"/>
              <w:rPr>
                <w:sz w:val="20"/>
                <w:szCs w:val="20"/>
                <w:color w:val="auto"/>
              </w:rPr>
            </w:pPr>
            <w:r>
              <w:rPr>
                <w:rFonts w:ascii="Times New Roman" w:cs="Times New Roman" w:eastAsia="Times New Roman" w:hAnsi="Times New Roman"/>
                <w:sz w:val="18"/>
                <w:szCs w:val="18"/>
                <w:b w:val="1"/>
                <w:bCs w:val="1"/>
                <w:color w:val="auto"/>
              </w:rPr>
              <w:t>Document</w:t>
            </w:r>
          </w:p>
        </w:tc>
      </w:tr>
      <w:tr>
        <w:trPr>
          <w:trHeight w:val="250"/>
        </w:trPr>
        <w:tc>
          <w:tcPr>
            <w:tcW w:w="110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1.    Eighth Amendment to Fifth Amended and Restated Receivables Purchase Agreement</w:t>
            </w:r>
          </w:p>
        </w:tc>
      </w:tr>
      <w:tr>
        <w:trPr>
          <w:trHeight w:val="338"/>
        </w:trPr>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71"/>
              </w:rPr>
              <w:t>a. </w:t>
            </w:r>
          </w:p>
        </w:tc>
        <w:tc>
          <w:tcPr>
            <w:tcW w:w="10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 Exhibit A to the Eighth Amendment to Fifth Amended and Restated Receivables Purchase Agreement</w:t>
            </w:r>
          </w:p>
        </w:tc>
      </w:tr>
      <w:tr>
        <w:trPr>
          <w:trHeight w:val="54"/>
        </w:trPr>
        <w:tc>
          <w:tcPr>
            <w:tcW w:w="11020" w:type="dxa"/>
            <w:vAlign w:val="bottom"/>
            <w:tcBorders>
              <w:bottom w:val="single" w:sz="8" w:color="auto"/>
            </w:tcBorders>
            <w:gridSpan w:val="3"/>
          </w:tcPr>
          <w:p>
            <w:pPr>
              <w:spacing w:after="0"/>
              <w:rPr>
                <w:sz w:val="4"/>
                <w:szCs w:val="4"/>
                <w:color w:val="auto"/>
              </w:rPr>
            </w:pPr>
          </w:p>
        </w:tc>
      </w:tr>
      <w:tr>
        <w:trPr>
          <w:trHeight w:val="250"/>
        </w:trPr>
        <w:tc>
          <w:tcPr>
            <w:tcW w:w="110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2.    Third Amendment to Second Amended and Restated Purchase and Sale Agreement</w:t>
            </w:r>
          </w:p>
        </w:tc>
      </w:tr>
      <w:tr>
        <w:trPr>
          <w:trHeight w:val="338"/>
        </w:trPr>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71"/>
              </w:rPr>
              <w:t>a. </w:t>
            </w:r>
          </w:p>
        </w:tc>
        <w:tc>
          <w:tcPr>
            <w:tcW w:w="10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 Form of Assignment and Release Agreement for Wesco Integrated Supply</w:t>
            </w:r>
          </w:p>
        </w:tc>
      </w:tr>
      <w:tr>
        <w:trPr>
          <w:trHeight w:val="338"/>
        </w:trPr>
        <w:tc>
          <w:tcPr>
            <w:tcW w:w="760" w:type="dxa"/>
            <w:vAlign w:val="bottom"/>
          </w:tcPr>
          <w:p>
            <w:pPr>
              <w:spacing w:after="0"/>
              <w:rPr>
                <w:sz w:val="24"/>
                <w:szCs w:val="24"/>
                <w:color w:val="auto"/>
              </w:rPr>
            </w:pP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72"/>
              </w:rPr>
              <w:t>i. </w:t>
            </w:r>
          </w:p>
        </w:tc>
        <w:tc>
          <w:tcPr>
            <w:tcW w:w="9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Form of UCC-3 termination statement</w:t>
            </w:r>
          </w:p>
        </w:tc>
      </w:tr>
      <w:tr>
        <w:trPr>
          <w:trHeight w:val="338"/>
        </w:trPr>
        <w:tc>
          <w:tcPr>
            <w:tcW w:w="760" w:type="dxa"/>
            <w:vAlign w:val="bottom"/>
          </w:tcPr>
          <w:p>
            <w:pPr>
              <w:spacing w:after="0"/>
              <w:rPr>
                <w:sz w:val="24"/>
                <w:szCs w:val="24"/>
                <w:color w:val="auto"/>
              </w:rPr>
            </w:pPr>
          </w:p>
        </w:tc>
        <w:tc>
          <w:tcPr>
            <w:tcW w:w="340" w:type="dxa"/>
            <w:vAlign w:val="bottom"/>
          </w:tcPr>
          <w:p>
            <w:pPr>
              <w:ind w:left="120"/>
              <w:spacing w:after="0"/>
              <w:rPr>
                <w:sz w:val="20"/>
                <w:szCs w:val="20"/>
                <w:color w:val="auto"/>
              </w:rPr>
            </w:pPr>
            <w:r>
              <w:rPr>
                <w:rFonts w:ascii="Times New Roman" w:cs="Times New Roman" w:eastAsia="Times New Roman" w:hAnsi="Times New Roman"/>
                <w:sz w:val="15"/>
                <w:szCs w:val="15"/>
                <w:color w:val="auto"/>
                <w:w w:val="73"/>
              </w:rPr>
              <w:t>ii. </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 Form of Lock-Box Agreement Amendment</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4665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74865" cy="446659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3.    Joinder to Intercreditor Agreement</w:t>
      </w:r>
    </w:p>
    <w:p>
      <w:pPr>
        <w:spacing w:after="0" w:line="200" w:lineRule="exact"/>
        <w:rPr>
          <w:sz w:val="20"/>
          <w:szCs w:val="20"/>
          <w:color w:val="auto"/>
        </w:rPr>
      </w:pPr>
    </w:p>
    <w:p>
      <w:pPr>
        <w:spacing w:after="0" w:line="2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5.    Second Amendment to TD Deposit Account Control Agreement(s)</w:t>
      </w:r>
    </w:p>
    <w:p>
      <w:pPr>
        <w:spacing w:after="0" w:line="200" w:lineRule="exact"/>
        <w:rPr>
          <w:sz w:val="20"/>
          <w:szCs w:val="20"/>
          <w:color w:val="auto"/>
        </w:rPr>
      </w:pPr>
    </w:p>
    <w:p>
      <w:pPr>
        <w:spacing w:after="0" w:line="2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7.    Secretary’s Certificate of Servicer as to:</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 Resolutions of Board of Directors</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b.    Certificate of Incorporation</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c.     By-laws</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d.    Incumbency and signature</w:t>
      </w:r>
    </w:p>
    <w:p>
      <w:pPr>
        <w:spacing w:after="0" w:line="1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8.    Secretary’s Certificate of Company as to:</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 Resolutions of Board of Directors</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b.    Certificate of Incorporation</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c.     By-laws</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d.    Incumbency and signature</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88" w:right="439" w:bottom="1440" w:gutter="0" w:footer="0" w:header="0"/>
        </w:sectPr>
      </w:pPr>
    </w:p>
    <w:bookmarkStart w:id="311" w:name="page312"/>
    <w:bookmarkEnd w:id="311"/>
    <w:p>
      <w:pPr>
        <w:ind w:left="5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-125095</wp:posOffset>
            </wp:positionV>
            <wp:extent cx="7003415" cy="34290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003415" cy="342900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Secretary’s Certificate of New Originator as to:</w:t>
      </w:r>
    </w:p>
    <w:p>
      <w:pPr>
        <w:spacing w:after="0" w:line="1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a.     Resolutions of Board of Directors</w:t>
      </w:r>
    </w:p>
    <w:p>
      <w:pPr>
        <w:spacing w:after="0" w:line="1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b.    Certificate of Incorporation</w:t>
      </w:r>
    </w:p>
    <w:p>
      <w:pPr>
        <w:spacing w:after="0" w:line="1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c.     By-laws</w:t>
      </w:r>
    </w:p>
    <w:p>
      <w:pPr>
        <w:spacing w:after="0" w:line="1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d.    Incumbency and signature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Good Standing Certificate for the Servicer from the Secretary of State of the State of 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Good Standing Certificate for the Company from the Secretary of State of the State of 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Good Standing Certificate for New Originator from its state of organization</w:t>
      </w:r>
    </w:p>
    <w:p>
      <w:pPr>
        <w:spacing w:after="0" w:line="117" w:lineRule="exact"/>
        <w:rPr>
          <w:sz w:val="20"/>
          <w:szCs w:val="20"/>
          <w:color w:val="auto"/>
        </w:rPr>
      </w:pPr>
    </w:p>
    <w:p>
      <w:pPr>
        <w:ind w:left="360" w:hanging="359"/>
        <w:spacing w:after="0" w:line="282" w:lineRule="auto"/>
        <w:rPr>
          <w:sz w:val="20"/>
          <w:szCs w:val="20"/>
          <w:color w:val="auto"/>
        </w:rPr>
      </w:pPr>
      <w:r>
        <w:rPr>
          <w:rFonts w:ascii="Times New Roman" w:cs="Times New Roman" w:eastAsia="Times New Roman" w:hAnsi="Times New Roman"/>
          <w:sz w:val="18"/>
          <w:szCs w:val="18"/>
          <w:color w:val="auto"/>
        </w:rPr>
        <w:t>13.   Opinion of Counsel to Servicer, New Originator and Company Re: General Corporate and Enforceability matters and UCC Security Interest/Perfection matters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Opinion of Counsel to Servicer, New Originator and Company Re: True Sale/Non-Consolidation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UCC, judgment, tax and ERISA searches in New Originator’s state of organization and chief executive office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16.   UCC-3 Terminations/releases:</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1.    UCC-1 filing to be made in connection with ABL facility to include satisfactory carve out of Receivables</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2.    UCC-3 termination with respect to filings against New Originator that cover Receivables and Related Rights.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UCC-1 financing statements naming New Originator as debtor/seller and PNC as the assignee secured party</w:t>
      </w:r>
    </w:p>
    <w:p>
      <w:pPr>
        <w:spacing w:after="0" w:line="22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9860"/>
      </w:cols>
      <w:pgMar w:left="600" w:top="279" w:right="1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07ACC3"/>
    <w:multiLevelType w:val="hybridMultilevel"/>
    <w:lvl w:ilvl="0">
      <w:lvlJc w:val="left"/>
      <w:lvlText w:val="☐"/>
      <w:numFmt w:val="bullet"/>
      <w:start w:val="1"/>
    </w:lvl>
  </w:abstractNum>
  <w:abstractNum w:abstractNumId="1">
    <w:nsid w:val="6B47F63E"/>
    <w:multiLevelType w:val="hybridMultilevel"/>
    <w:lvl w:ilvl="0">
      <w:lvlJc w:val="left"/>
      <w:lvlText w:val="(%1)"/>
      <w:numFmt w:val="lowerRoman"/>
      <w:start w:val="1"/>
    </w:lvl>
  </w:abstractNum>
  <w:abstractNum w:abstractNumId="2">
    <w:nsid w:val="5CB44A05"/>
    <w:multiLevelType w:val="hybridMultilevel"/>
    <w:lvl w:ilvl="0">
      <w:lvlJc w:val="left"/>
      <w:lvlText w:val="(%1)"/>
      <w:numFmt w:val="lowerRoman"/>
      <w:start w:val="3"/>
    </w:lvl>
  </w:abstractNum>
  <w:abstractNum w:abstractNumId="3">
    <w:nsid w:val="16CF80F1"/>
    <w:multiLevelType w:val="hybridMultilevel"/>
    <w:lvl w:ilvl="0">
      <w:lvlJc w:val="left"/>
      <w:lvlText w:val="(%1)"/>
      <w:numFmt w:val="decimal"/>
      <w:start w:val="1"/>
    </w:lvl>
  </w:abstractNum>
  <w:abstractNum w:abstractNumId="4">
    <w:nsid w:val="1C695DEC"/>
    <w:multiLevelType w:val="hybridMultilevel"/>
    <w:lvl w:ilvl="0">
      <w:lvlJc w:val="left"/>
      <w:lvlText w:val="(%1)"/>
      <w:numFmt w:val="decimal"/>
      <w:start w:val="1"/>
    </w:lvl>
  </w:abstractNum>
  <w:abstractNum w:abstractNumId="5">
    <w:nsid w:val="3FCFAED9"/>
    <w:multiLevelType w:val="hybridMultilevel"/>
    <w:lvl w:ilvl="0">
      <w:lvlJc w:val="left"/>
      <w:lvlText w:val="(%1)"/>
      <w:numFmt w:val="decimal"/>
      <w:start w:val="2"/>
    </w:lvl>
  </w:abstractNum>
  <w:abstractNum w:abstractNumId="6">
    <w:nsid w:val="F856867"/>
    <w:multiLevelType w:val="hybridMultilevel"/>
    <w:lvl w:ilvl="0">
      <w:lvlJc w:val="left"/>
      <w:lvlText w:val="%1"/>
      <w:numFmt w:val="lowerRoman"/>
      <w:start w:val="1"/>
    </w:lvl>
    <w:lvl w:ilvl="1">
      <w:lvlJc w:val="left"/>
      <w:lvlText w:val="(%2)"/>
      <w:numFmt w:val="decimal"/>
      <w:start w:val="1"/>
    </w:lvl>
  </w:abstractNum>
  <w:abstractNum w:abstractNumId="7">
    <w:nsid w:val="11B1CC33"/>
    <w:multiLevelType w:val="hybridMultilevel"/>
    <w:lvl w:ilvl="0">
      <w:lvlJc w:val="left"/>
      <w:lvlText w:val="(%1)"/>
      <w:numFmt w:val="lowerRoman"/>
      <w:start w:val="2"/>
    </w:lvl>
    <w:lvl w:ilvl="1">
      <w:lvlJc w:val="left"/>
      <w:lvlText w:val="%2"/>
      <w:numFmt w:val="decimal"/>
      <w:start w:val="1"/>
    </w:lvl>
  </w:abstractNum>
  <w:abstractNum w:abstractNumId="8">
    <w:nsid w:val="2E22FBB7"/>
    <w:multiLevelType w:val="hybridMultilevel"/>
    <w:lvl w:ilvl="0">
      <w:lvlJc w:val="left"/>
      <w:lvlText w:val="(%1)"/>
      <w:numFmt w:val="lowerRoman"/>
      <w:start w:val="4"/>
    </w:lvl>
    <w:lvl w:ilvl="1">
      <w:lvlJc w:val="left"/>
      <w:lvlText w:val="(%2)"/>
      <w:numFmt w:val="decimal"/>
      <w:start w:val="9"/>
    </w:lvl>
  </w:abstractNum>
  <w:abstractNum w:abstractNumId="9">
    <w:nsid w:val="29934699"/>
    <w:multiLevelType w:val="hybridMultilevel"/>
    <w:lvl w:ilvl="0">
      <w:lvlJc w:val="left"/>
      <w:lvlText w:val="(%1)"/>
      <w:numFmt w:val="decimal"/>
      <w:start w:val="10"/>
    </w:lvl>
  </w:abstractNum>
  <w:abstractNum w:abstractNumId="10">
    <w:nsid w:val="77485850"/>
    <w:multiLevelType w:val="hybridMultilevel"/>
    <w:lvl w:ilvl="0">
      <w:lvlJc w:val="left"/>
      <w:lvlText w:val="(%1)"/>
      <w:numFmt w:val="decimal"/>
      <w:start w:val="1"/>
    </w:lvl>
  </w:abstractNum>
  <w:abstractNum w:abstractNumId="11">
    <w:nsid w:val="744939A3"/>
    <w:multiLevelType w:val="hybridMultilevel"/>
    <w:lvl w:ilvl="0">
      <w:lvlJc w:val="left"/>
      <w:lvlText w:val="(%1)"/>
      <w:numFmt w:val="decimal"/>
      <w:start w:val="1"/>
    </w:lvl>
  </w:abstractNum>
  <w:abstractNum w:abstractNumId="12">
    <w:nsid w:val="4FA0D2E3"/>
    <w:multiLevelType w:val="hybridMultilevel"/>
    <w:lvl w:ilvl="0">
      <w:lvlJc w:val="left"/>
      <w:lvlText w:val="(%1)"/>
      <w:numFmt w:val="decimal"/>
      <w:start w:val="1"/>
    </w:lvl>
  </w:abstractNum>
  <w:abstractNum w:abstractNumId="13">
    <w:nsid w:val="6B1D2C14"/>
    <w:multiLevelType w:val="hybridMultilevel"/>
    <w:lvl w:ilvl="0">
      <w:lvlJc w:val="left"/>
      <w:lvlText w:val="(%1)"/>
      <w:numFmt w:val="lowerLetter"/>
      <w:start w:val="4"/>
    </w:lvl>
  </w:abstractNum>
  <w:abstractNum w:abstractNumId="14">
    <w:nsid w:val="68B867D3"/>
    <w:multiLevelType w:val="hybridMultilevel"/>
    <w:lvl w:ilvl="0">
      <w:lvlJc w:val="left"/>
      <w:lvlText w:val="(%1)"/>
      <w:numFmt w:val="decimal"/>
      <w:start w:val="2"/>
    </w:lvl>
  </w:abstractNum>
  <w:abstractNum w:abstractNumId="15">
    <w:nsid w:val="3F7F5DD9"/>
    <w:multiLevelType w:val="hybridMultilevel"/>
    <w:lvl w:ilvl="0">
      <w:lvlJc w:val="left"/>
      <w:lvlText w:val="(%1)"/>
      <w:numFmt w:val="lowerLetter"/>
      <w:start w:val="1"/>
    </w:lvl>
  </w:abstractNum>
  <w:abstractNum w:abstractNumId="16">
    <w:nsid w:val="2AE05A34"/>
    <w:multiLevelType w:val="hybridMultilevel"/>
    <w:lvl w:ilvl="0">
      <w:lvlJc w:val="left"/>
      <w:lvlText w:val="(%1)"/>
      <w:numFmt w:val="decimal"/>
      <w:start w:val="1"/>
    </w:lvl>
  </w:abstractNum>
  <w:abstractNum w:abstractNumId="17">
    <w:nsid w:val="32794FF7"/>
    <w:multiLevelType w:val="hybridMultilevel"/>
    <w:lvl w:ilvl="0">
      <w:lvlJc w:val="left"/>
      <w:lvlText w:val="(%1)"/>
      <w:numFmt w:val="decimal"/>
      <w:start w:val="8"/>
    </w:lvl>
  </w:abstractNum>
  <w:abstractNum w:abstractNumId="18">
    <w:nsid w:val="5454945E"/>
    <w:multiLevelType w:val="hybridMultilevel"/>
    <w:lvl w:ilvl="0">
      <w:lvlJc w:val="left"/>
      <w:lvlText w:val="(%1)"/>
      <w:numFmt w:val="decimal"/>
      <w:start w:val="1"/>
    </w:lvl>
  </w:abstractNum>
  <w:abstractNum w:abstractNumId="19">
    <w:nsid w:val="4DEFDFA0"/>
    <w:multiLevelType w:val="hybridMultilevel"/>
    <w:lvl w:ilvl="0">
      <w:lvlJc w:val="left"/>
      <w:lvlText w:val="(%1)"/>
      <w:numFmt w:val="lowerLetter"/>
      <w:start w:val="1"/>
    </w:lvl>
  </w:abstractNum>
  <w:abstractNum w:abstractNumId="20">
    <w:nsid w:val="2123D5F2"/>
    <w:multiLevelType w:val="hybridMultilevel"/>
    <w:lvl w:ilvl="0">
      <w:lvlJc w:val="left"/>
      <w:lvlText w:val="(%1)"/>
      <w:numFmt w:val="lowerLetter"/>
      <w:start w:val="6"/>
    </w:lvl>
  </w:abstractNum>
  <w:abstractNum w:abstractNumId="21">
    <w:nsid w:val="135B8110"/>
    <w:multiLevelType w:val="hybridMultilevel"/>
    <w:lvl w:ilvl="0">
      <w:lvlJc w:val="left"/>
      <w:lvlText w:val="(%1)"/>
      <w:numFmt w:val="decimal"/>
      <w:start w:val="1"/>
    </w:lvl>
  </w:abstractNum>
  <w:abstractNum w:abstractNumId="22">
    <w:nsid w:val="94927A8"/>
    <w:multiLevelType w:val="hybridMultilevel"/>
    <w:lvl w:ilvl="0">
      <w:lvlJc w:val="left"/>
      <w:lvlText w:val="(%1)"/>
      <w:numFmt w:val="decimal"/>
      <w:start w:val="3"/>
    </w:lvl>
  </w:abstractNum>
  <w:abstractNum w:abstractNumId="23">
    <w:nsid w:val="DCDF8F6"/>
    <w:multiLevelType w:val="hybridMultilevel"/>
    <w:lvl w:ilvl="0">
      <w:lvlJc w:val="left"/>
      <w:lvlText w:val="(%1)"/>
      <w:numFmt w:val="decimal"/>
      <w:start w:val="1"/>
    </w:lvl>
  </w:abstractNum>
  <w:abstractNum w:abstractNumId="24">
    <w:nsid w:val="52D7B105"/>
    <w:multiLevelType w:val="hybridMultilevel"/>
    <w:lvl w:ilvl="0">
      <w:lvlJc w:val="left"/>
      <w:lvlText w:val="(%1)"/>
      <w:numFmt w:val="decimal"/>
      <w:start w:val="1"/>
    </w:lvl>
    <w:lvl w:ilvl="1">
      <w:lvlJc w:val="left"/>
      <w:lvlText w:val="(%2)"/>
      <w:numFmt w:val="upperLetter"/>
      <w:start w:val="1"/>
    </w:lvl>
  </w:abstractNum>
  <w:abstractNum w:abstractNumId="25">
    <w:nsid w:val="2E8A6394"/>
    <w:multiLevelType w:val="hybridMultilevel"/>
    <w:lvl w:ilvl="0">
      <w:lvlJc w:val="left"/>
      <w:lvlText w:val="(%1)"/>
      <w:numFmt w:val="decimal"/>
      <w:start w:val="2"/>
    </w:lvl>
  </w:abstractNum>
  <w:abstractNum w:abstractNumId="26">
    <w:nsid w:val="24E60401"/>
    <w:multiLevelType w:val="hybridMultilevel"/>
    <w:lvl w:ilvl="0">
      <w:lvlJc w:val="left"/>
      <w:lvlText w:val="(%1)"/>
      <w:numFmt w:val="lowerLetter"/>
      <w:start w:val="1"/>
    </w:lvl>
  </w:abstractNum>
  <w:abstractNum w:abstractNumId="27">
    <w:nsid w:val="2A6AD9BE"/>
    <w:multiLevelType w:val="hybridMultilevel"/>
    <w:lvl w:ilvl="0">
      <w:lvlJc w:val="left"/>
      <w:lvlText w:val="(%1)"/>
      <w:numFmt w:val="lowerLetter"/>
      <w:start w:val="2"/>
    </w:lvl>
  </w:abstractNum>
  <w:abstractNum w:abstractNumId="28">
    <w:nsid w:val="BAAC1B4"/>
    <w:multiLevelType w:val="hybridMultilevel"/>
    <w:lvl w:ilvl="0">
      <w:lvlJc w:val="left"/>
      <w:lvlText w:val="(%1)"/>
      <w:numFmt w:val="decimal"/>
      <w:start w:val="1"/>
    </w:lvl>
  </w:abstractNum>
  <w:abstractNum w:abstractNumId="29">
    <w:nsid w:val="36B2ACBC"/>
    <w:multiLevelType w:val="hybridMultilevel"/>
    <w:lvl w:ilvl="0">
      <w:lvlJc w:val="left"/>
      <w:lvlText w:val="(%1)"/>
      <w:numFmt w:val="lowerLetter"/>
      <w:start w:val="1"/>
    </w:lvl>
  </w:abstractNum>
  <w:abstractNum w:abstractNumId="30">
    <w:nsid w:val="779D8544"/>
    <w:multiLevelType w:val="hybridMultilevel"/>
    <w:lvl w:ilvl="0">
      <w:lvlJc w:val="left"/>
      <w:lvlText w:val="(%1)"/>
      <w:numFmt w:val="lowerLetter"/>
      <w:start w:val="2"/>
    </w:lvl>
  </w:abstractNum>
  <w:abstractNum w:abstractNumId="31">
    <w:nsid w:val="4AB26E78"/>
    <w:multiLevelType w:val="hybridMultilevel"/>
    <w:lvl w:ilvl="0">
      <w:lvlJc w:val="left"/>
      <w:lvlText w:val="(%1)"/>
      <w:numFmt w:val="lowerLetter"/>
      <w:start w:val="3"/>
    </w:lvl>
  </w:abstractNum>
  <w:abstractNum w:abstractNumId="32">
    <w:nsid w:val="21FAA2FA"/>
    <w:multiLevelType w:val="hybridMultilevel"/>
    <w:lvl w:ilvl="0">
      <w:lvlJc w:val="left"/>
      <w:lvlText w:val="(%1)"/>
      <w:numFmt w:val="lowerLetter"/>
      <w:start w:val="1"/>
    </w:lvl>
  </w:abstractNum>
  <w:abstractNum w:abstractNumId="33">
    <w:nsid w:val="5451CF49"/>
    <w:multiLevelType w:val="hybridMultilevel"/>
    <w:lvl w:ilvl="0">
      <w:lvlJc w:val="left"/>
      <w:lvlText w:val="%1"/>
      <w:numFmt w:val="lowerRoman"/>
      <w:start w:val="1"/>
    </w:lvl>
    <w:lvl w:ilvl="1">
      <w:lvlJc w:val="left"/>
      <w:lvlText w:val="(%2)"/>
      <w:numFmt w:val="lowerLetter"/>
      <w:start w:val="2"/>
    </w:lvl>
    <w:lvl w:ilvl="2">
      <w:lvlJc w:val="left"/>
      <w:lvlText w:val="%3"/>
      <w:numFmt w:val="upperLetter"/>
      <w:start w:val="1"/>
    </w:lvl>
  </w:abstractNum>
  <w:abstractNum w:abstractNumId="34">
    <w:nsid w:val="6181EF69"/>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35">
    <w:nsid w:val="3E6400E6"/>
    <w:multiLevelType w:val="hybridMultilevel"/>
    <w:lvl w:ilvl="0">
      <w:lvlJc w:val="left"/>
      <w:lvlText w:val="(%1)"/>
      <w:numFmt w:val="lowerRoman"/>
      <w:start w:val="4"/>
    </w:lvl>
    <w:lvl w:ilvl="1">
      <w:lvlJc w:val="left"/>
      <w:lvlText w:val="(%2)"/>
      <w:numFmt w:val="upperLetter"/>
      <w:start w:val="1"/>
    </w:lvl>
  </w:abstractNum>
  <w:abstractNum w:abstractNumId="36">
    <w:nsid w:val="14217E23"/>
    <w:multiLevelType w:val="hybridMultilevel"/>
    <w:lvl w:ilvl="0">
      <w:lvlJc w:val="left"/>
      <w:lvlText w:val="(%1)"/>
      <w:numFmt w:val="lowerLetter"/>
      <w:start w:val="22"/>
    </w:lvl>
    <w:lvl w:ilvl="1">
      <w:lvlJc w:val="left"/>
      <w:lvlText w:val="(%2)"/>
      <w:numFmt w:val="lowerLetter"/>
      <w:start w:val="3"/>
    </w:lvl>
  </w:abstractNum>
  <w:abstractNum w:abstractNumId="37">
    <w:nsid w:val="710757D0"/>
    <w:multiLevelType w:val="hybridMultilevel"/>
    <w:lvl w:ilvl="0">
      <w:lvlJc w:val="left"/>
      <w:lvlText w:val="%1"/>
      <w:numFmt w:val="lowerLetter"/>
      <w:start w:val="1"/>
    </w:lvl>
    <w:lvl w:ilvl="1">
      <w:lvlJc w:val="left"/>
      <w:lvlText w:val="(%2)"/>
      <w:numFmt w:val="lowerLetter"/>
      <w:start w:val="4"/>
    </w:lvl>
    <w:lvl w:ilvl="2">
      <w:lvlJc w:val="left"/>
      <w:lvlText w:val="%3"/>
      <w:numFmt w:val="upperLetter"/>
      <w:start w:val="1"/>
    </w:lvl>
  </w:abstractNum>
  <w:abstractNum w:abstractNumId="38">
    <w:nsid w:val="5015CD1A"/>
    <w:multiLevelType w:val="hybridMultilevel"/>
    <w:lvl w:ilvl="0">
      <w:lvlJc w:val="left"/>
      <w:lvlText w:val="(%1)"/>
      <w:numFmt w:val="lowerLetter"/>
      <w:start w:val="9"/>
    </w:lvl>
    <w:lvl w:ilvl="1">
      <w:lvlJc w:val="left"/>
      <w:lvlText w:val="%2"/>
      <w:numFmt w:val="lowerLetter"/>
      <w:start w:val="1"/>
    </w:lvl>
    <w:lvl w:ilvl="2">
      <w:lvlJc w:val="left"/>
      <w:lvlText w:val="(%3)"/>
      <w:numFmt w:val="upperLetter"/>
      <w:start w:val="1"/>
    </w:lvl>
  </w:abstractNum>
  <w:abstractNum w:abstractNumId="39">
    <w:nsid w:val="424479DA"/>
    <w:multiLevelType w:val="hybridMultilevel"/>
    <w:lvl w:ilvl="0">
      <w:lvlJc w:val="left"/>
      <w:lvlText w:val="(%1)"/>
      <w:numFmt w:val="lowerRoman"/>
      <w:start w:val="2"/>
    </w:lvl>
    <w:lvl w:ilvl="1">
      <w:lvlJc w:val="left"/>
      <w:lvlText w:val="(%2)"/>
      <w:numFmt w:val="upperLetter"/>
      <w:start w:val="1"/>
    </w:lvl>
  </w:abstractNum>
  <w:abstractNum w:abstractNumId="40">
    <w:nsid w:val="1A9A9E69"/>
    <w:multiLevelType w:val="hybridMultilevel"/>
    <w:lvl w:ilvl="0">
      <w:lvlJc w:val="left"/>
      <w:lvlText w:val="(%1)"/>
      <w:numFmt w:val="upperLetter"/>
      <w:start w:val="2"/>
    </w:lvl>
  </w:abstractNum>
  <w:abstractNum w:abstractNumId="41">
    <w:nsid w:val="475E256A"/>
    <w:multiLevelType w:val="hybridMultilevel"/>
    <w:lvl w:ilvl="0">
      <w:lvlJc w:val="left"/>
      <w:lvlText w:val="(%1)"/>
      <w:numFmt w:val="lowerRoman"/>
      <w:start w:val="3"/>
    </w:lvl>
    <w:lvl w:ilvl="1">
      <w:lvlJc w:val="left"/>
      <w:lvlText w:val="(%2)"/>
      <w:numFmt w:val="lowerLetter"/>
      <w:start w:val="5"/>
    </w:lvl>
  </w:abstractNum>
  <w:abstractNum w:abstractNumId="42">
    <w:nsid w:val="368DB37E"/>
    <w:multiLevelType w:val="hybridMultilevel"/>
    <w:lvl w:ilvl="0">
      <w:lvlJc w:val="left"/>
      <w:lvlText w:val="(%1)"/>
      <w:numFmt w:val="lowerRoman"/>
      <w:start w:val="1"/>
    </w:lvl>
    <w:lvl w:ilvl="1">
      <w:lvlJc w:val="left"/>
      <w:lvlText w:val="(%2)"/>
      <w:numFmt w:val="upperLetter"/>
      <w:start w:val="1"/>
    </w:lvl>
  </w:abstractNum>
  <w:abstractNum w:abstractNumId="43">
    <w:nsid w:val="6A3B714C"/>
    <w:multiLevelType w:val="hybridMultilevel"/>
    <w:lvl w:ilvl="0">
      <w:lvlJc w:val="left"/>
      <w:lvlText w:val="(%1)"/>
      <w:numFmt w:val="decimal"/>
      <w:start w:val="1"/>
    </w:lvl>
  </w:abstractNum>
  <w:abstractNum w:abstractNumId="44">
    <w:nsid w:val="327B517E"/>
    <w:multiLevelType w:val="hybridMultilevel"/>
    <w:lvl w:ilvl="0">
      <w:lvlJc w:val="left"/>
      <w:lvlText w:val="(%1)"/>
      <w:numFmt w:val="lowerRoman"/>
      <w:start w:val="3"/>
    </w:lvl>
    <w:lvl w:ilvl="1">
      <w:lvlJc w:val="left"/>
      <w:lvlText w:val="(%2)"/>
      <w:numFmt w:val="lowerLetter"/>
      <w:start w:val="6"/>
    </w:lvl>
  </w:abstractNum>
  <w:abstractNum w:abstractNumId="45">
    <w:nsid w:val="1F461B51"/>
    <w:multiLevelType w:val="hybridMultilevel"/>
    <w:lvl w:ilvl="0">
      <w:lvlJc w:val="left"/>
      <w:lvlText w:val="(%1)"/>
      <w:numFmt w:val="decimal"/>
      <w:start w:val="1"/>
    </w:lvl>
  </w:abstractNum>
  <w:abstractNum w:abstractNumId="46">
    <w:nsid w:val="29BACF25"/>
    <w:multiLevelType w:val="hybridMultilevel"/>
    <w:lvl w:ilvl="0">
      <w:lvlJc w:val="left"/>
      <w:lvlText w:val="(%1)"/>
      <w:numFmt w:val="lowerLetter"/>
      <w:start w:val="1"/>
    </w:lvl>
  </w:abstractNum>
  <w:abstractNum w:abstractNumId="47">
    <w:nsid w:val="5D5BABB3"/>
    <w:multiLevelType w:val="hybridMultilevel"/>
    <w:lvl w:ilvl="0">
      <w:lvlJc w:val="left"/>
      <w:lvlText w:val="(%1)"/>
      <w:numFmt w:val="lowerRoman"/>
      <w:start w:val="1"/>
    </w:lvl>
  </w:abstractNum>
  <w:abstractNum w:abstractNumId="48">
    <w:nsid w:val="51BF6B48"/>
    <w:multiLevelType w:val="hybridMultilevel"/>
    <w:lvl w:ilvl="0">
      <w:lvlJc w:val="left"/>
      <w:lvlText w:val="(%1)"/>
      <w:numFmt w:val="lowerLetter"/>
      <w:start w:val="1"/>
    </w:lvl>
  </w:abstractNum>
  <w:abstractNum w:abstractNumId="49">
    <w:nsid w:val="7E0F6384"/>
    <w:multiLevelType w:val="hybridMultilevel"/>
    <w:lvl w:ilvl="0">
      <w:lvlJc w:val="left"/>
      <w:lvlText w:val="%1"/>
      <w:numFmt w:val="decimal"/>
      <w:start w:val="1"/>
    </w:lvl>
    <w:lvl w:ilvl="1">
      <w:lvlJc w:val="left"/>
      <w:lvlText w:val="(%2)"/>
      <w:numFmt w:val="lowerLetter"/>
      <w:start w:val="1"/>
    </w:lvl>
  </w:abstractNum>
  <w:abstractNum w:abstractNumId="50">
    <w:nsid w:val="2B4B8B53"/>
    <w:multiLevelType w:val="hybridMultilevel"/>
    <w:lvl w:ilvl="0">
      <w:lvlJc w:val="left"/>
      <w:lvlText w:val="(%1)"/>
      <w:numFmt w:val="decimal"/>
      <w:start w:val="1"/>
    </w:lvl>
    <w:lvl w:ilvl="1">
      <w:lvlJc w:val="left"/>
      <w:lvlText w:val="%2"/>
      <w:numFmt w:val="lowerLetter"/>
      <w:start w:val="1"/>
    </w:lvl>
  </w:abstractNum>
  <w:abstractNum w:abstractNumId="51">
    <w:nsid w:val="72E3413A"/>
    <w:multiLevelType w:val="hybridMultilevel"/>
    <w:lvl w:ilvl="0">
      <w:lvlJc w:val="left"/>
      <w:lvlText w:val="(%1)"/>
      <w:numFmt w:val="decimal"/>
      <w:start w:val="5"/>
    </w:lvl>
    <w:lvl w:ilvl="1">
      <w:lvlJc w:val="left"/>
      <w:lvlText w:val="(%2)"/>
      <w:numFmt w:val="lowerLetter"/>
      <w:start w:val="3"/>
    </w:lvl>
  </w:abstractNum>
  <w:abstractNum w:abstractNumId="52">
    <w:nsid w:val="116AE494"/>
    <w:multiLevelType w:val="hybridMultilevel"/>
    <w:lvl w:ilvl="0">
      <w:lvlJc w:val="left"/>
      <w:lvlText w:val="(%1)"/>
      <w:numFmt w:val="decimal"/>
      <w:start w:val="1"/>
    </w:lvl>
  </w:abstractNum>
  <w:abstractNum w:abstractNumId="53">
    <w:nsid w:val="3494B2FB"/>
    <w:multiLevelType w:val="hybridMultilevel"/>
    <w:lvl w:ilvl="0">
      <w:lvlJc w:val="left"/>
      <w:lvlText w:val="(%1)"/>
      <w:numFmt w:val="lowerLetter"/>
      <w:start w:val="4"/>
    </w:lvl>
  </w:abstractNum>
  <w:abstractNum w:abstractNumId="54">
    <w:nsid w:val="B13A31"/>
    <w:multiLevelType w:val="hybridMultilevel"/>
    <w:lvl w:ilvl="0">
      <w:lvlJc w:val="left"/>
      <w:lvlText w:val="(%1)"/>
      <w:numFmt w:val="decimal"/>
      <w:start w:val="1"/>
    </w:lvl>
  </w:abstractNum>
  <w:abstractNum w:abstractNumId="55">
    <w:nsid w:val="64429599"/>
    <w:multiLevelType w:val="hybridMultilevel"/>
    <w:lvl w:ilvl="0">
      <w:lvlJc w:val="left"/>
      <w:lvlText w:val="(%1)"/>
      <w:numFmt w:val="decimal"/>
      <w:start w:val="2"/>
    </w:lvl>
    <w:lvl w:ilvl="1">
      <w:lvlJc w:val="left"/>
      <w:lvlText w:val="(%2)"/>
      <w:numFmt w:val="upperLetter"/>
      <w:start w:val="1"/>
    </w:lvl>
  </w:abstractNum>
  <w:abstractNum w:abstractNumId="56">
    <w:nsid w:val="631F1690"/>
    <w:multiLevelType w:val="hybridMultilevel"/>
    <w:lvl w:ilvl="0">
      <w:lvlJc w:val="left"/>
      <w:lvlText w:val="%1"/>
      <w:numFmt w:val="decimal"/>
      <w:start w:val="1"/>
    </w:lvl>
    <w:lvl w:ilvl="1">
      <w:lvlJc w:val="left"/>
      <w:lvlText w:val="(%2)"/>
      <w:numFmt w:val="lowerLetter"/>
      <w:start w:val="2"/>
    </w:lvl>
  </w:abstractNum>
  <w:abstractNum w:abstractNumId="57">
    <w:nsid w:val="25973E32"/>
    <w:multiLevelType w:val="hybridMultilevel"/>
    <w:lvl w:ilvl="0">
      <w:lvlJc w:val="left"/>
      <w:lvlText w:val="(%1)"/>
      <w:numFmt w:val="decimal"/>
      <w:start w:val="1"/>
    </w:lvl>
    <w:lvl w:ilvl="1">
      <w:lvlJc w:val="left"/>
      <w:lvlText w:val="%2"/>
      <w:numFmt w:val="lowerLetter"/>
      <w:start w:val="1"/>
    </w:lvl>
  </w:abstractNum>
  <w:abstractNum w:abstractNumId="58">
    <w:nsid w:val="EAD6F57"/>
    <w:multiLevelType w:val="hybridMultilevel"/>
    <w:lvl w:ilvl="0">
      <w:lvlJc w:val="left"/>
      <w:lvlText w:val="(%1)"/>
      <w:numFmt w:val="decimal"/>
      <w:start w:val="2"/>
    </w:lvl>
    <w:lvl w:ilvl="1">
      <w:lvlJc w:val="left"/>
      <w:lvlText w:val="(%2)"/>
      <w:numFmt w:val="lowerLetter"/>
      <w:start w:val="3"/>
    </w:lvl>
  </w:abstractNum>
  <w:abstractNum w:abstractNumId="59">
    <w:nsid w:val="6EC9D844"/>
    <w:multiLevelType w:val="hybridMultilevel"/>
    <w:lvl w:ilvl="0">
      <w:lvlJc w:val="left"/>
      <w:lvlText w:val="(%1)"/>
      <w:numFmt w:val="lowerLetter"/>
      <w:start w:val="4"/>
    </w:lvl>
  </w:abstractNum>
  <w:abstractNum w:abstractNumId="60">
    <w:nsid w:val="5C49EAEE"/>
    <w:multiLevelType w:val="hybridMultilevel"/>
    <w:lvl w:ilvl="0">
      <w:lvlJc w:val="left"/>
      <w:lvlText w:val="(%1)"/>
      <w:numFmt w:val="lowerLetter"/>
      <w:start w:val="1"/>
    </w:lvl>
    <w:lvl w:ilvl="1">
      <w:lvlJc w:val="left"/>
      <w:lvlText w:val="(%2)"/>
      <w:numFmt w:val="decimal"/>
      <w:start w:val="1"/>
    </w:lvl>
  </w:abstractNum>
  <w:abstractNum w:abstractNumId="61">
    <w:nsid w:val="64AF49B"/>
    <w:multiLevelType w:val="hybridMultilevel"/>
    <w:lvl w:ilvl="0">
      <w:lvlJc w:val="left"/>
      <w:lvlText w:val="(%1)"/>
      <w:numFmt w:val="decimal"/>
      <w:start w:val="3"/>
    </w:lvl>
  </w:abstractNum>
  <w:abstractNum w:abstractNumId="62">
    <w:nsid w:val="397C46BC"/>
    <w:multiLevelType w:val="hybridMultilevel"/>
    <w:lvl w:ilvl="0">
      <w:lvlJc w:val="left"/>
      <w:lvlText w:val="(%1)"/>
      <w:numFmt w:val="lowerLetter"/>
      <w:start w:val="1"/>
    </w:lvl>
  </w:abstractNum>
  <w:abstractNum w:abstractNumId="63">
    <w:nsid w:val="7E448DE9"/>
    <w:multiLevelType w:val="hybridMultilevel"/>
    <w:lvl w:ilvl="0">
      <w:lvlJc w:val="left"/>
      <w:lvlText w:val="(%1)"/>
      <w:numFmt w:val="lowerLetter"/>
      <w:start w:val="4"/>
    </w:lvl>
  </w:abstractNum>
  <w:abstractNum w:abstractNumId="64">
    <w:nsid w:val="5A9CC3E5"/>
    <w:multiLevelType w:val="hybridMultilevel"/>
    <w:lvl w:ilvl="0">
      <w:lvlJc w:val="left"/>
      <w:lvlText w:val="(%1)"/>
      <w:numFmt w:val="lowerLetter"/>
      <w:start w:val="10"/>
    </w:lvl>
  </w:abstractNum>
  <w:abstractNum w:abstractNumId="65">
    <w:nsid w:val="1AFE3625"/>
    <w:multiLevelType w:val="hybridMultilevel"/>
    <w:lvl w:ilvl="0">
      <w:lvlJc w:val="left"/>
      <w:lvlText w:val="(%1)"/>
      <w:numFmt w:val="decimal"/>
      <w:start w:val="1"/>
    </w:lvl>
  </w:abstractNum>
  <w:abstractNum w:abstractNumId="66">
    <w:nsid w:val="3CA88ECF"/>
    <w:multiLevelType w:val="hybridMultilevel"/>
    <w:lvl w:ilvl="0">
      <w:lvlJc w:val="left"/>
      <w:lvlText w:val="(%1)"/>
      <w:numFmt w:val="decimal"/>
      <w:start w:val="2"/>
    </w:lvl>
  </w:abstractNum>
  <w:abstractNum w:abstractNumId="67">
    <w:nsid w:val="6EBE4208"/>
    <w:multiLevelType w:val="hybridMultilevel"/>
    <w:lvl w:ilvl="0">
      <w:lvlJc w:val="left"/>
      <w:lvlText w:val="(%1)"/>
      <w:numFmt w:val="decimal"/>
      <w:start w:val="9"/>
    </w:lvl>
  </w:abstractNum>
  <w:abstractNum w:abstractNumId="68">
    <w:nsid w:val="C058DF5"/>
    <w:multiLevelType w:val="hybridMultilevel"/>
    <w:lvl w:ilvl="0">
      <w:lvlJc w:val="left"/>
      <w:lvlText w:val="(%1)"/>
      <w:numFmt w:val="decimal"/>
      <w:start w:val="21"/>
    </w:lvl>
  </w:abstractNum>
  <w:abstractNum w:abstractNumId="69">
    <w:nsid w:val="CBE5BE9"/>
    <w:multiLevelType w:val="hybridMultilevel"/>
    <w:lvl w:ilvl="0">
      <w:lvlJc w:val="left"/>
      <w:lvlText w:val="(%1)"/>
      <w:numFmt w:val="decimal"/>
      <w:start w:val="1"/>
    </w:lvl>
  </w:abstractNum>
  <w:abstractNum w:abstractNumId="70">
    <w:nsid w:val="3102BBE2"/>
    <w:multiLevelType w:val="hybridMultilevel"/>
    <w:lvl w:ilvl="0">
      <w:lvlJc w:val="left"/>
      <w:lvlText w:val="(%1)"/>
      <w:numFmt w:val="decimal"/>
      <w:start w:val="1"/>
    </w:lvl>
  </w:abstractNum>
  <w:abstractNum w:abstractNumId="71">
    <w:nsid w:val="26A02C5E"/>
    <w:multiLevelType w:val="hybridMultilevel"/>
    <w:lvl w:ilvl="0">
      <w:lvlJc w:val="left"/>
      <w:lvlText w:val="%1"/>
      <w:numFmt w:val="decimal"/>
      <w:start w:val="1"/>
    </w:lvl>
    <w:lvl w:ilvl="1">
      <w:lvlJc w:val="left"/>
      <w:lvlText w:val="(%2)"/>
      <w:numFmt w:val="lowerLetter"/>
      <w:start w:val="1"/>
    </w:lvl>
  </w:abstractNum>
  <w:abstractNum w:abstractNumId="72">
    <w:nsid w:val="541C8153"/>
    <w:multiLevelType w:val="hybridMultilevel"/>
    <w:lvl w:ilvl="0">
      <w:lvlJc w:val="left"/>
      <w:lvlText w:val="(%1)"/>
      <w:numFmt w:val="decimal"/>
      <w:start w:val="1"/>
    </w:lvl>
    <w:lvl w:ilvl="1">
      <w:lvlJc w:val="left"/>
      <w:lvlText w:val="%2"/>
      <w:numFmt w:val="lowerLetter"/>
      <w:start w:val="1"/>
    </w:lvl>
  </w:abstractNum>
  <w:abstractNum w:abstractNumId="73">
    <w:nsid w:val="67906F60"/>
    <w:multiLevelType w:val="hybridMultilevel"/>
    <w:lvl w:ilvl="0">
      <w:lvlJc w:val="left"/>
      <w:lvlText w:val="(%1)"/>
      <w:numFmt w:val="lowerLetter"/>
      <w:start w:val="2"/>
    </w:lvl>
  </w:abstractNum>
  <w:abstractNum w:abstractNumId="74">
    <w:nsid w:val="10DB9DAA"/>
    <w:multiLevelType w:val="hybridMultilevel"/>
    <w:lvl w:ilvl="0">
      <w:lvlJc w:val="left"/>
      <w:lvlText w:val="(%1)"/>
      <w:numFmt w:val="lowerLetter"/>
      <w:start w:val="4"/>
    </w:lvl>
  </w:abstractNum>
  <w:abstractNum w:abstractNumId="75">
    <w:nsid w:val="697D2D2"/>
    <w:multiLevelType w:val="hybridMultilevel"/>
    <w:lvl w:ilvl="0">
      <w:lvlJc w:val="left"/>
      <w:lvlText w:val="(%1)"/>
      <w:numFmt w:val="decimal"/>
      <w:start w:val="1"/>
    </w:lvl>
  </w:abstractNum>
  <w:abstractNum w:abstractNumId="76">
    <w:nsid w:val="6D68AB2"/>
    <w:multiLevelType w:val="hybridMultilevel"/>
    <w:lvl w:ilvl="0">
      <w:lvlJc w:val="left"/>
      <w:lvlText w:val="(%1)"/>
      <w:numFmt w:val="lowerLetter"/>
      <w:start w:val="1"/>
    </w:lvl>
  </w:abstractNum>
  <w:abstractNum w:abstractNumId="77">
    <w:nsid w:val="3A966CD0"/>
    <w:multiLevelType w:val="hybridMultilevel"/>
    <w:lvl w:ilvl="0">
      <w:lvlJc w:val="left"/>
      <w:lvlText w:val="(%1)"/>
      <w:numFmt w:val="lowerLetter"/>
      <w:start w:val="3"/>
    </w:lvl>
  </w:abstractNum>
  <w:abstractNum w:abstractNumId="78">
    <w:nsid w:val="63F37E85"/>
    <w:multiLevelType w:val="hybridMultilevel"/>
    <w:lvl w:ilvl="0">
      <w:lvlJc w:val="left"/>
      <w:lvlText w:val="(%1)"/>
      <w:numFmt w:val="lowerRoman"/>
      <w:start w:val="2"/>
    </w:lvl>
    <w:lvl w:ilvl="1">
      <w:lvlJc w:val="left"/>
      <w:lvlText w:val="(%2)"/>
      <w:numFmt w:val="decimal"/>
      <w:start w:val="1"/>
    </w:lvl>
  </w:abstractNum>
  <w:abstractNum w:abstractNumId="79">
    <w:nsid w:val="5895F5FA"/>
    <w:multiLevelType w:val="hybridMultilevel"/>
    <w:lvl w:ilvl="0">
      <w:lvlJc w:val="left"/>
      <w:lvlText w:val="(%1)"/>
      <w:numFmt w:val="decimal"/>
      <w:start w:val="1"/>
    </w:lvl>
  </w:abstractNum>
  <w:abstractNum w:abstractNumId="80">
    <w:nsid w:val="38A5D054"/>
    <w:multiLevelType w:val="hybridMultilevel"/>
    <w:lvl w:ilvl="0">
      <w:lvlJc w:val="left"/>
      <w:lvlText w:val="(%1)"/>
      <w:numFmt w:val="decimal"/>
      <w:start w:val="3"/>
    </w:lvl>
  </w:abstractNum>
  <w:abstractNum w:abstractNumId="81">
    <w:nsid w:val="F3F09D8"/>
    <w:multiLevelType w:val="hybridMultilevel"/>
    <w:lvl w:ilvl="0">
      <w:lvlJc w:val="left"/>
      <w:lvlText w:val="(%1)"/>
      <w:numFmt w:val="decimal"/>
      <w:start w:val="1"/>
    </w:lvl>
  </w:abstractNum>
  <w:abstractNum w:abstractNumId="82">
    <w:nsid w:val="4B793735"/>
    <w:multiLevelType w:val="hybridMultilevel"/>
    <w:lvl w:ilvl="0">
      <w:lvlJc w:val="left"/>
      <w:lvlText w:val="(%1)"/>
      <w:numFmt w:val="decimal"/>
      <w:start w:val="1"/>
    </w:lvl>
  </w:abstractNum>
  <w:abstractNum w:abstractNumId="83">
    <w:nsid w:val="4A10B4E8"/>
    <w:multiLevelType w:val="hybridMultilevel"/>
    <w:lvl w:ilvl="0">
      <w:lvlJc w:val="left"/>
      <w:lvlText w:val="(%1)"/>
      <w:numFmt w:val="decimal"/>
      <w:start w:val="2"/>
    </w:lvl>
  </w:abstractNum>
  <w:abstractNum w:abstractNumId="84">
    <w:nsid w:val="43D3BCD4"/>
    <w:multiLevelType w:val="hybridMultilevel"/>
    <w:lvl w:ilvl="0">
      <w:lvlJc w:val="left"/>
      <w:lvlText w:val="(%1)"/>
      <w:numFmt w:val="decimal"/>
      <w:start w:val="5"/>
    </w:lvl>
  </w:abstractNum>
  <w:abstractNum w:abstractNumId="85">
    <w:nsid w:val="4C2A7166"/>
    <w:multiLevelType w:val="hybridMultilevel"/>
    <w:lvl w:ilvl="0">
      <w:lvlJc w:val="left"/>
      <w:lvlText w:val="(%1)"/>
      <w:numFmt w:val="decimal"/>
      <w:start w:val="7"/>
    </w:lvl>
  </w:abstractNum>
  <w:abstractNum w:abstractNumId="86">
    <w:nsid w:val="2E534A82"/>
    <w:multiLevelType w:val="hybridMultilevel"/>
    <w:lvl w:ilvl="0">
      <w:lvlJc w:val="left"/>
      <w:lvlText w:val="(%1)"/>
      <w:numFmt w:val="decimal"/>
      <w:start w:val="1"/>
    </w:lvl>
  </w:abstractNum>
  <w:abstractNum w:abstractNumId="87">
    <w:nsid w:val="26F2D364"/>
    <w:multiLevelType w:val="hybridMultilevel"/>
    <w:lvl w:ilvl="0">
      <w:lvlJc w:val="left"/>
      <w:lvlText w:val="(%1)"/>
      <w:numFmt w:val="lowerLetter"/>
      <w:start w:val="1"/>
    </w:lvl>
  </w:abstractNum>
  <w:abstractNum w:abstractNumId="88">
    <w:nsid w:val="71C1AF98"/>
    <w:multiLevelType w:val="hybridMultilevel"/>
    <w:lvl w:ilvl="0">
      <w:lvlJc w:val="left"/>
      <w:lvlText w:val="(%1)"/>
      <w:numFmt w:val="lowerLetter"/>
      <w:start w:val="2"/>
    </w:lvl>
  </w:abstractNum>
  <w:abstractNum w:abstractNumId="89">
    <w:nsid w:val="3D00B9D9"/>
    <w:multiLevelType w:val="hybridMultilevel"/>
    <w:lvl w:ilvl="0">
      <w:lvlJc w:val="left"/>
      <w:lvlText w:val="(%1)"/>
      <w:numFmt w:val="decimal"/>
      <w:start w:val="1"/>
    </w:lvl>
  </w:abstractNum>
  <w:abstractNum w:abstractNumId="90">
    <w:nsid w:val="15BCABA8"/>
    <w:multiLevelType w:val="hybridMultilevel"/>
    <w:lvl w:ilvl="0">
      <w:lvlJc w:val="left"/>
      <w:lvlText w:val="(%1)"/>
      <w:numFmt w:val="decimal"/>
      <w:start w:val="5"/>
    </w:lvl>
  </w:abstractNum>
  <w:abstractNum w:abstractNumId="91">
    <w:nsid w:val="4E0B9A87"/>
    <w:multiLevelType w:val="hybridMultilevel"/>
    <w:lvl w:ilvl="0">
      <w:lvlJc w:val="left"/>
      <w:lvlText w:val="(%1)"/>
      <w:numFmt w:val="lowerLetter"/>
      <w:start w:val="1"/>
    </w:lvl>
  </w:abstractNum>
  <w:abstractNum w:abstractNumId="92">
    <w:nsid w:val="434BAE75"/>
    <w:multiLevelType w:val="hybridMultilevel"/>
    <w:lvl w:ilvl="0">
      <w:lvlJc w:val="left"/>
      <w:lvlText w:val="%1"/>
      <w:numFmt w:val="decimal"/>
      <w:start w:val="1"/>
    </w:lvl>
    <w:lvl w:ilvl="1">
      <w:lvlJc w:val="left"/>
      <w:lvlText w:val="(%2)"/>
      <w:numFmt w:val="lowerLetter"/>
      <w:start w:val="2"/>
    </w:lvl>
  </w:abstractNum>
  <w:abstractNum w:abstractNumId="93">
    <w:nsid w:val="4F38F265"/>
    <w:multiLevelType w:val="hybridMultilevel"/>
    <w:lvl w:ilvl="0">
      <w:lvlJc w:val="left"/>
      <w:lvlText w:val="(%1)"/>
      <w:numFmt w:val="decimal"/>
      <w:start w:val="1"/>
    </w:lvl>
    <w:lvl w:ilvl="1">
      <w:lvlJc w:val="left"/>
      <w:lvlText w:val="(%2)"/>
      <w:numFmt w:val="lowerLetter"/>
      <w:start w:val="3"/>
    </w:lvl>
  </w:abstractNum>
  <w:abstractNum w:abstractNumId="94">
    <w:nsid w:val="4C502870"/>
    <w:multiLevelType w:val="hybridMultilevel"/>
    <w:lvl w:ilvl="0">
      <w:lvlJc w:val="left"/>
      <w:lvlText w:val="(%1)"/>
      <w:numFmt w:val="decimal"/>
      <w:start w:val="1"/>
    </w:lvl>
  </w:abstractNum>
  <w:abstractNum w:abstractNumId="95">
    <w:nsid w:val="1DE8725A"/>
    <w:multiLevelType w:val="hybridMultilevel"/>
    <w:lvl w:ilvl="0">
      <w:lvlJc w:val="left"/>
      <w:lvlText w:val="(%1)"/>
      <w:numFmt w:val="decimal"/>
      <w:start w:val="2"/>
    </w:lvl>
    <w:lvl w:ilvl="1">
      <w:lvlJc w:val="left"/>
      <w:lvlText w:val="(%2)"/>
      <w:numFmt w:val="lowerLetter"/>
      <w:start w:val="4"/>
    </w:lvl>
  </w:abstractNum>
  <w:abstractNum w:abstractNumId="96">
    <w:nsid w:val="6A37288A"/>
    <w:multiLevelType w:val="hybridMultilevel"/>
    <w:lvl w:ilvl="0">
      <w:lvlJc w:val="left"/>
      <w:lvlText w:val="(%1)"/>
      <w:numFmt w:val="lowerLetter"/>
      <w:start w:val="5"/>
    </w:lvl>
  </w:abstractNum>
  <w:abstractNum w:abstractNumId="97">
    <w:nsid w:val="8F8B73F"/>
    <w:multiLevelType w:val="hybridMultilevel"/>
    <w:lvl w:ilvl="0">
      <w:lvlJc w:val="left"/>
      <w:lvlText w:val="(%1)"/>
      <w:numFmt w:val="decimal"/>
      <w:start w:val="1"/>
    </w:lvl>
  </w:abstractNum>
  <w:abstractNum w:abstractNumId="98">
    <w:nsid w:val="CA6B462"/>
    <w:multiLevelType w:val="hybridMultilevel"/>
    <w:lvl w:ilvl="0">
      <w:lvlJc w:val="left"/>
      <w:lvlText w:val="(%1)"/>
      <w:numFmt w:val="decimal"/>
      <w:start w:val="3"/>
    </w:lvl>
  </w:abstractNum>
  <w:abstractNum w:abstractNumId="99">
    <w:nsid w:val="763CB680"/>
    <w:multiLevelType w:val="hybridMultilevel"/>
    <w:lvl w:ilvl="0">
      <w:lvlJc w:val="left"/>
      <w:lvlText w:val="(%1)"/>
      <w:numFmt w:val="decimal"/>
      <w:start w:val="1"/>
    </w:lvl>
  </w:abstractNum>
  <w:abstractNum w:abstractNumId="100">
    <w:nsid w:val="15B71329"/>
    <w:multiLevelType w:val="hybridMultilevel"/>
    <w:lvl w:ilvl="0">
      <w:lvlJc w:val="left"/>
      <w:lvlText w:val="(%1)"/>
      <w:numFmt w:val="upperLetter"/>
      <w:start w:val="1"/>
    </w:lvl>
  </w:abstractNum>
  <w:abstractNum w:abstractNumId="101">
    <w:nsid w:val="3DA97044"/>
    <w:multiLevelType w:val="hybridMultilevel"/>
    <w:lvl w:ilvl="0">
      <w:lvlJc w:val="left"/>
      <w:lvlText w:val="(%1)"/>
      <w:numFmt w:val="decimal"/>
      <w:start w:val="1"/>
    </w:lvl>
  </w:abstractNum>
  <w:abstractNum w:abstractNumId="102">
    <w:nsid w:val="1CDCE2DE"/>
    <w:multiLevelType w:val="hybridMultilevel"/>
    <w:lvl w:ilvl="0">
      <w:lvlJc w:val="left"/>
      <w:lvlText w:val="(%1)"/>
      <w:numFmt w:val="decimal"/>
      <w:start w:val="3"/>
    </w:lvl>
  </w:abstractNum>
  <w:abstractNum w:abstractNumId="103">
    <w:nsid w:val="69D3947C"/>
    <w:multiLevelType w:val="hybridMultilevel"/>
    <w:lvl w:ilvl="0">
      <w:lvlJc w:val="left"/>
      <w:lvlText w:val="(%1)"/>
      <w:numFmt w:val="lowerLetter"/>
      <w:start w:val="1"/>
    </w:lvl>
  </w:abstractNum>
  <w:abstractNum w:abstractNumId="104">
    <w:nsid w:val="2539DFA5"/>
    <w:multiLevelType w:val="hybridMultilevel"/>
    <w:lvl w:ilvl="0">
      <w:lvlJc w:val="left"/>
      <w:lvlText w:val="%1"/>
      <w:numFmt w:val="decimal"/>
      <w:start w:val="1"/>
    </w:lvl>
    <w:lvl w:ilvl="1">
      <w:lvlJc w:val="left"/>
      <w:lvlText w:val="(%2)"/>
      <w:numFmt w:val="lowerLetter"/>
      <w:start w:val="2"/>
    </w:lvl>
  </w:abstractNum>
  <w:abstractNum w:abstractNumId="105">
    <w:nsid w:val="2DB88089"/>
    <w:multiLevelType w:val="hybridMultilevel"/>
    <w:lvl w:ilvl="0">
      <w:lvlJc w:val="left"/>
      <w:lvlText w:val="(%1)"/>
      <w:numFmt w:val="decimal"/>
      <w:start w:val="1"/>
    </w:lvl>
    <w:lvl w:ilvl="1">
      <w:lvlJc w:val="left"/>
      <w:lvlText w:val="(%2)"/>
      <w:numFmt w:val="lowerLetter"/>
      <w:start w:val="3"/>
    </w:lvl>
  </w:abstractNum>
  <w:abstractNum w:abstractNumId="106">
    <w:nsid w:val="706B674E"/>
    <w:multiLevelType w:val="hybridMultilevel"/>
    <w:lvl w:ilvl="0">
      <w:lvlJc w:val="left"/>
      <w:lvlText w:val="(%1)"/>
      <w:numFmt w:val="lowerLetter"/>
      <w:start w:val="1"/>
    </w:lvl>
  </w:abstractNum>
  <w:abstractNum w:abstractNumId="107">
    <w:nsid w:val="2C106A57"/>
    <w:multiLevelType w:val="hybridMultilevel"/>
    <w:lvl w:ilvl="0">
      <w:lvlJc w:val="left"/>
      <w:lvlText w:val="(%1)"/>
      <w:numFmt w:val="decimal"/>
      <w:start w:val="1"/>
    </w:lvl>
  </w:abstractNum>
  <w:abstractNum w:abstractNumId="108">
    <w:nsid w:val="684EED59"/>
    <w:multiLevelType w:val="hybridMultilevel"/>
    <w:lvl w:ilvl="0">
      <w:lvlJc w:val="left"/>
      <w:lvlText w:val="(%1)"/>
      <w:numFmt w:val="decimal"/>
      <w:start w:val="1"/>
    </w:lvl>
  </w:abstractNum>
  <w:abstractNum w:abstractNumId="109">
    <w:nsid w:val="545EE5D3"/>
    <w:multiLevelType w:val="hybridMultilevel"/>
    <w:lvl w:ilvl="0">
      <w:lvlJc w:val="left"/>
      <w:lvlText w:val="(%1)"/>
      <w:numFmt w:val="decimal"/>
      <w:start w:val="1"/>
    </w:lvl>
  </w:abstractNum>
  <w:abstractNum w:abstractNumId="110">
    <w:nsid w:val="4A66051"/>
    <w:multiLevelType w:val="hybridMultilevel"/>
    <w:lvl w:ilvl="0">
      <w:lvlJc w:val="left"/>
      <w:lvlText w:val="(%1)"/>
      <w:numFmt w:val="decimal"/>
      <w:start w:val="3"/>
    </w:lvl>
  </w:abstractNum>
  <w:abstractNum w:abstractNumId="111">
    <w:nsid w:val="20F4BDAD"/>
    <w:multiLevelType w:val="hybridMultilevel"/>
    <w:lvl w:ilvl="0">
      <w:lvlJc w:val="left"/>
      <w:lvlText w:val="(%1)"/>
      <w:numFmt w:val="lowerRoman"/>
      <w:start w:val="2"/>
    </w:lvl>
  </w:abstractNum>
  <w:abstractNum w:abstractNumId="112">
    <w:nsid w:val="639DEFAC"/>
    <w:multiLevelType w:val="hybridMultilevel"/>
    <w:lvl w:ilvl="0">
      <w:lvlJc w:val="left"/>
      <w:lvlText w:val="%1"/>
      <w:numFmt w:val="decimal"/>
      <w:start w:val="1"/>
    </w:lvl>
    <w:lvl w:ilvl="1">
      <w:lvlJc w:val="left"/>
      <w:lvlText w:val="(%2)"/>
      <w:numFmt w:val="lowerLetter"/>
      <w:start w:val="1"/>
    </w:lvl>
  </w:abstractNum>
  <w:abstractNum w:abstractNumId="113">
    <w:nsid w:val="501F9786"/>
    <w:multiLevelType w:val="hybridMultilevel"/>
    <w:lvl w:ilvl="0">
      <w:lvlJc w:val="left"/>
      <w:lvlText w:val="(%1)"/>
      <w:numFmt w:val="decimal"/>
      <w:start w:val="1"/>
    </w:lvl>
    <w:lvl w:ilvl="1">
      <w:lvlJc w:val="left"/>
      <w:lvlText w:val="%2"/>
      <w:numFmt w:val="lowerLetter"/>
      <w:start w:val="1"/>
    </w:lvl>
  </w:abstractNum>
  <w:abstractNum w:abstractNumId="114">
    <w:nsid w:val="6B057295"/>
    <w:multiLevelType w:val="hybridMultilevel"/>
    <w:lvl w:ilvl="0">
      <w:lvlJc w:val="left"/>
      <w:lvlText w:val="(%1)"/>
      <w:numFmt w:val="decimal"/>
      <w:start w:val="4"/>
    </w:lvl>
    <w:lvl w:ilvl="1">
      <w:lvlJc w:val="left"/>
      <w:lvlText w:val="(%2)"/>
      <w:numFmt w:val="lowerLetter"/>
      <w:start w:val="2"/>
    </w:lvl>
  </w:abstractNum>
  <w:abstractNum w:abstractNumId="115">
    <w:nsid w:val="2771AC80"/>
    <w:multiLevelType w:val="hybridMultilevel"/>
    <w:lvl w:ilvl="0">
      <w:lvlJc w:val="left"/>
      <w:lvlText w:val="(%1)"/>
      <w:numFmt w:val="decimal"/>
      <w:start w:val="1"/>
    </w:lvl>
  </w:abstractNum>
  <w:abstractNum w:abstractNumId="116">
    <w:nsid w:val="1C4A08EC"/>
    <w:multiLevelType w:val="hybridMultilevel"/>
    <w:lvl w:ilvl="0">
      <w:lvlJc w:val="left"/>
      <w:lvlText w:val="(%1)"/>
      <w:numFmt w:val="decimal"/>
      <w:start w:val="1"/>
    </w:lvl>
  </w:abstractNum>
  <w:abstractNum w:abstractNumId="117">
    <w:nsid w:val="1958BD17"/>
    <w:multiLevelType w:val="hybridMultilevel"/>
    <w:lvl w:ilvl="0">
      <w:lvlJc w:val="left"/>
      <w:lvlText w:val="%1."/>
      <w:numFmt w:val="decimal"/>
      <w:start w:val="1"/>
    </w:lvl>
  </w:abstractNum>
  <w:abstractNum w:abstractNumId="118">
    <w:nsid w:val="4E647FE4"/>
    <w:multiLevelType w:val="hybridMultilevel"/>
    <w:lvl w:ilvl="0">
      <w:lvlJc w:val="left"/>
      <w:lvlText w:val="(%1)"/>
      <w:numFmt w:val="decimal"/>
      <w:start w:val="1"/>
    </w:lvl>
  </w:abstractNum>
  <w:abstractNum w:abstractNumId="119">
    <w:nsid w:val="E0BB885"/>
    <w:multiLevelType w:val="hybridMultilevel"/>
    <w:lvl w:ilvl="0">
      <w:lvlJc w:val="left"/>
      <w:lvlText w:val="%1."/>
      <w:numFmt w:val="decimal"/>
      <w:start w:val="6"/>
    </w:lvl>
  </w:abstractNum>
  <w:abstractNum w:abstractNumId="120">
    <w:nsid w:val="565976F1"/>
    <w:multiLevelType w:val="hybridMultilevel"/>
    <w:lvl w:ilvl="0">
      <w:lvlJc w:val="left"/>
      <w:lvlText w:val="%1."/>
      <w:numFmt w:val="decimal"/>
      <w:start w:val="11"/>
    </w:lvl>
  </w:abstractNum>
  <w:abstractNum w:abstractNumId="121">
    <w:nsid w:val="64212B8C"/>
    <w:multiLevelType w:val="hybridMultilevel"/>
    <w:lvl w:ilvl="0">
      <w:lvlJc w:val="left"/>
      <w:lvlText w:val="(%1)"/>
      <w:numFmt w:val="decimal"/>
      <w:start w:val="1"/>
    </w:lvl>
  </w:abstractNum>
  <w:abstractNum w:abstractNumId="122">
    <w:nsid w:val="5C17530C"/>
    <w:multiLevelType w:val="hybridMultilevel"/>
    <w:lvl w:ilvl="0">
      <w:lvlJc w:val="left"/>
      <w:lvlText w:val="%1."/>
      <w:numFmt w:val="decimal"/>
      <w:start w:val="15"/>
    </w:lvl>
  </w:abstractNum>
  <w:abstractNum w:abstractNumId="123">
    <w:nsid w:val="19A52566"/>
    <w:multiLevelType w:val="hybridMultilevel"/>
    <w:lvl w:ilvl="0">
      <w:lvlJc w:val="left"/>
      <w:lvlText w:val="%1."/>
      <w:numFmt w:val="decimal"/>
      <w:start w:val="20"/>
    </w:lvl>
  </w:abstractNum>
  <w:abstractNum w:abstractNumId="124">
    <w:nsid w:val="335A1DF1"/>
    <w:multiLevelType w:val="hybridMultilevel"/>
    <w:lvl w:ilvl="0">
      <w:lvlJc w:val="left"/>
      <w:lvlText w:val="%1."/>
      <w:numFmt w:val="decimal"/>
      <w:start w:val="1"/>
    </w:lvl>
  </w:abstractNum>
  <w:abstractNum w:abstractNumId="125">
    <w:nsid w:val="28677B7C"/>
    <w:multiLevelType w:val="hybridMultilevel"/>
    <w:lvl w:ilvl="0">
      <w:lvlJc w:val="left"/>
      <w:lvlText w:val="(%1)"/>
      <w:numFmt w:val="decimal"/>
      <w:start w:val="1"/>
    </w:lvl>
  </w:abstractNum>
  <w:abstractNum w:abstractNumId="126">
    <w:nsid w:val="378D97C0"/>
    <w:multiLevelType w:val="hybridMultilevel"/>
    <w:lvl w:ilvl="0">
      <w:lvlJc w:val="left"/>
      <w:lvlText w:val="%1."/>
      <w:numFmt w:val="decimal"/>
      <w:start w:val="6"/>
    </w:lvl>
  </w:abstractNum>
  <w:abstractNum w:abstractNumId="127">
    <w:nsid w:val="1D91467C"/>
    <w:multiLevelType w:val="hybridMultilevel"/>
    <w:lvl w:ilvl="0">
      <w:lvlJc w:val="left"/>
      <w:lvlText w:val="%1."/>
      <w:numFmt w:val="decimal"/>
      <w:start w:val="11"/>
    </w:lvl>
  </w:abstractNum>
  <w:abstractNum w:abstractNumId="128">
    <w:nsid w:val="316032BB"/>
    <w:multiLevelType w:val="hybridMultilevel"/>
    <w:lvl w:ilvl="0">
      <w:lvlJc w:val="left"/>
      <w:lvlText w:val="(%1)"/>
      <w:numFmt w:val="decimal"/>
      <w:start w:val="1"/>
    </w:lvl>
  </w:abstractNum>
  <w:abstractNum w:abstractNumId="129">
    <w:nsid w:val="44344C22"/>
    <w:multiLevelType w:val="hybridMultilevel"/>
    <w:lvl w:ilvl="0">
      <w:lvlJc w:val="left"/>
      <w:lvlText w:val="(%1)"/>
      <w:numFmt w:val="decimal"/>
      <w:start w:val="2"/>
    </w:lvl>
  </w:abstractNum>
  <w:abstractNum w:abstractNumId="130">
    <w:nsid w:val="13CDFCFC"/>
    <w:multiLevelType w:val="hybridMultilevel"/>
    <w:lvl w:ilvl="0">
      <w:lvlJc w:val="left"/>
      <w:lvlText w:val="%1."/>
      <w:numFmt w:val="decimal"/>
      <w:start w:val="15"/>
    </w:lvl>
  </w:abstractNum>
  <w:abstractNum w:abstractNumId="131">
    <w:nsid w:val="471745E4"/>
    <w:multiLevelType w:val="hybridMultilevel"/>
    <w:lvl w:ilvl="0">
      <w:lvlJc w:val="left"/>
      <w:lvlText w:val="%1."/>
      <w:numFmt w:val="decimal"/>
      <w:start w:val="20"/>
    </w:lvl>
  </w:abstractNum>
  <w:abstractNum w:abstractNumId="132">
    <w:nsid w:val="1DDBC66"/>
    <w:multiLevelType w:val="hybridMultilevel"/>
    <w:lvl w:ilvl="0">
      <w:lvlJc w:val="left"/>
      <w:lvlText w:val="(%1)"/>
      <w:numFmt w:val="lowerLetter"/>
      <w:start w:val="3"/>
    </w:lvl>
  </w:abstractNum>
  <w:abstractNum w:abstractNumId="133">
    <w:nsid w:val="30AADFDA"/>
    <w:multiLevelType w:val="hybridMultilevel"/>
    <w:lvl w:ilvl="0">
      <w:lvlJc w:val="left"/>
      <w:lvlText w:val="%1."/>
      <w:numFmt w:val="decimal"/>
      <w:start w:val="1"/>
    </w:lvl>
  </w:abstractNum>
  <w:abstractNum w:abstractNumId="134">
    <w:nsid w:val="30EADA61"/>
    <w:multiLevelType w:val="hybridMultilevel"/>
    <w:lvl w:ilvl="0">
      <w:lvlJc w:val="left"/>
      <w:lvlText w:val="%1."/>
      <w:numFmt w:val="decimal"/>
      <w:start w:val="2"/>
    </w:lvl>
    <w:lvl w:ilvl="1">
      <w:lvlJc w:val="left"/>
      <w:lvlText w:val="(%2)"/>
      <w:numFmt w:val="lowerLetter"/>
      <w:start w:val="1"/>
    </w:lvl>
  </w:abstractNum>
  <w:abstractNum w:abstractNumId="135">
    <w:nsid w:val="27179C0B"/>
    <w:multiLevelType w:val="hybridMultilevel"/>
    <w:lvl w:ilvl="0">
      <w:lvlJc w:val="left"/>
      <w:lvlText w:val="(%1)"/>
      <w:numFmt w:val="lowerLetter"/>
      <w:start w:val="2"/>
    </w:lvl>
  </w:abstractNum>
  <w:abstractNum w:abstractNumId="136">
    <w:nsid w:val="5E636063"/>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37">
    <w:nsid w:val="215641AF"/>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138">
    <w:nsid w:val="53280662"/>
    <w:multiLevelType w:val="hybridMultilevel"/>
    <w:lvl w:ilvl="0">
      <w:lvlJc w:val="left"/>
      <w:lvlText w:val="(%1)"/>
      <w:numFmt w:val="lowerLetter"/>
      <w:start w:val="4"/>
    </w:lvl>
  </w:abstractNum>
  <w:abstractNum w:abstractNumId="139">
    <w:nsid w:val="46B24DBC"/>
    <w:multiLevelType w:val="hybridMultilevel"/>
    <w:lvl w:ilvl="0">
      <w:lvlJc w:val="left"/>
      <w:lvlText w:val="%1."/>
      <w:numFmt w:val="decimal"/>
      <w:start w:val="1"/>
    </w:lvl>
  </w:abstractNum>
  <w:abstractNum w:abstractNumId="140">
    <w:nsid w:val="75B5278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1">
    <w:nsid w:val="57CE66B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42">
    <w:nsid w:val="67A70B69"/>
    <w:multiLevelType w:val="hybridMultilevel"/>
    <w:lvl w:ilvl="0">
      <w:lvlJc w:val="left"/>
      <w:lvlText w:val="(%1)"/>
      <w:numFmt w:val="lowerLetter"/>
      <w:start w:val="1"/>
    </w:lvl>
    <w:lvl w:ilvl="1">
      <w:lvlJc w:val="left"/>
      <w:lvlText w:val="(%2)"/>
      <w:numFmt w:val="lowerRoman"/>
      <w:start w:val="1"/>
    </w:lvl>
  </w:abstractNum>
  <w:abstractNum w:abstractNumId="143">
    <w:nsid w:val="5953172F"/>
    <w:multiLevelType w:val="hybridMultilevel"/>
    <w:lvl w:ilvl="0">
      <w:lvlJc w:val="left"/>
      <w:lvlText w:val="%1."/>
      <w:numFmt w:val="decimal"/>
      <w:start w:val="1"/>
    </w:lvl>
    <w:lvl w:ilvl="1">
      <w:lvlJc w:val="left"/>
      <w:lvlText w:val="(%2)"/>
      <w:numFmt w:val="lowerLetter"/>
      <w:start w:val="1"/>
    </w:lvl>
  </w:abstractNum>
  <w:abstractNum w:abstractNumId="144">
    <w:nsid w:val="27EDFE3A"/>
    <w:multiLevelType w:val="hybridMultilevel"/>
    <w:lvl w:ilvl="0">
      <w:lvlJc w:val="left"/>
      <w:lvlText w:val="(%1)"/>
      <w:numFmt w:val="lowerRoman"/>
      <w:start w:val="4"/>
    </w:lvl>
    <w:lvl w:ilvl="1">
      <w:lvlJc w:val="left"/>
      <w:lvlText w:val="(%2)"/>
      <w:numFmt w:val="lowerLetter"/>
      <w:start w:val="2"/>
    </w:lvl>
  </w:abstractNum>
  <w:abstractNum w:abstractNumId="145">
    <w:nsid w:val="52AC7DFF"/>
    <w:multiLevelType w:val="hybridMultilevel"/>
    <w:lvl w:ilvl="0">
      <w:lvlJc w:val="left"/>
      <w:lvlText w:val="%1."/>
      <w:numFmt w:val="decimal"/>
      <w:start w:val="2"/>
    </w:lvl>
    <w:lvl w:ilvl="1">
      <w:lvlJc w:val="left"/>
      <w:lvlText w:val="(%2)"/>
      <w:numFmt w:val="lowerLetter"/>
      <w:start w:val="1"/>
    </w:lvl>
  </w:abstractNum>
  <w:abstractNum w:abstractNumId="146">
    <w:nsid w:val="C4C3AF"/>
    <w:multiLevelType w:val="hybridMultilevel"/>
    <w:lvl w:ilvl="0">
      <w:lvlJc w:val="left"/>
      <w:lvlText w:val="%1."/>
      <w:numFmt w:val="decimal"/>
      <w:start w:val="1"/>
    </w:lvl>
  </w:abstractNum>
  <w:abstractNum w:abstractNumId="147">
    <w:nsid w:val="44380727"/>
    <w:multiLevelType w:val="hybridMultilevel"/>
    <w:lvl w:ilvl="0">
      <w:lvlJc w:val="left"/>
      <w:lvlText w:val="%1."/>
      <w:numFmt w:val="decimal"/>
      <w:start w:val="4"/>
    </w:lvl>
  </w:abstractNum>
  <w:abstractNum w:abstractNumId="148">
    <w:nsid w:val="6C053B16"/>
    <w:multiLevelType w:val="hybridMultilevel"/>
    <w:lvl w:ilvl="0">
      <w:lvlJc w:val="left"/>
      <w:lvlText w:val="%1."/>
      <w:numFmt w:val="decimal"/>
      <w:start w:val="5"/>
    </w:lvl>
  </w:abstractNum>
  <w:abstractNum w:abstractNumId="149">
    <w:nsid w:val="4F294393"/>
    <w:multiLevelType w:val="hybridMultilevel"/>
    <w:lvl w:ilvl="0">
      <w:lvlJc w:val="left"/>
      <w:lvlText w:val="%1."/>
      <w:numFmt w:val="decimal"/>
      <w:start w:val="1"/>
    </w:lvl>
  </w:abstractNum>
  <w:abstractNum w:abstractNumId="150">
    <w:nsid w:val="5243BFAC"/>
    <w:multiLevelType w:val="hybridMultilevel"/>
    <w:lvl w:ilvl="0">
      <w:lvlJc w:val="left"/>
      <w:lvlText w:val="%1."/>
      <w:numFmt w:val="decimal"/>
      <w:start w:val="1"/>
    </w:lvl>
    <w:lvl w:ilvl="1">
      <w:lvlJc w:val="left"/>
      <w:lvlText w:val="(%2)"/>
      <w:numFmt w:val="lowerLetter"/>
      <w:start w:val="1"/>
    </w:lvl>
  </w:abstractNum>
  <w:abstractNum w:abstractNumId="151">
    <w:nsid w:val="425EB207"/>
    <w:multiLevelType w:val="hybridMultilevel"/>
    <w:lvl w:ilvl="0">
      <w:lvlJc w:val="left"/>
      <w:lvlText w:val="%1."/>
      <w:numFmt w:val="decimal"/>
      <w:start w:val="3"/>
    </w:lvl>
  </w:abstractNum>
  <w:abstractNum w:abstractNumId="152">
    <w:nsid w:val="334A6F1F"/>
    <w:multiLevelType w:val="hybridMultilevel"/>
    <w:lvl w:ilvl="0">
      <w:lvlJc w:val="left"/>
      <w:lvlText w:val="%1."/>
      <w:numFmt w:val="decimal"/>
      <w:start w:val="5"/>
    </w:lvl>
  </w:abstractNum>
  <w:abstractNum w:abstractNumId="153">
    <w:nsid w:val="2E5B12B8"/>
    <w:multiLevelType w:val="hybridMultilevel"/>
    <w:lvl w:ilvl="0">
      <w:lvlJc w:val="left"/>
      <w:lvlText w:val="%1."/>
      <w:numFmt w:val="decimal"/>
      <w:start w:val="9"/>
    </w:lvl>
  </w:abstractNum>
  <w:abstractNum w:abstractNumId="154">
    <w:nsid w:val="5C03D76D"/>
    <w:multiLevelType w:val="hybridMultilevel"/>
    <w:lvl w:ilvl="0">
      <w:lvlJc w:val="left"/>
      <w:lvlText w:val="(%1)"/>
      <w:numFmt w:val="lowerLetter"/>
      <w:start w:val="1"/>
    </w:lvl>
  </w:abstractNum>
  <w:abstractNum w:abstractNumId="155">
    <w:nsid w:val="66A48D11"/>
    <w:multiLevelType w:val="hybridMultilevel"/>
    <w:lvl w:ilvl="0">
      <w:lvlJc w:val="left"/>
      <w:lvlText w:val="%1"/>
      <w:numFmt w:val="lowerLetter"/>
      <w:start w:val="1"/>
    </w:lvl>
    <w:lvl w:ilvl="1">
      <w:lvlJc w:val="left"/>
      <w:lvlText w:val="(%2)"/>
      <w:numFmt w:val="lowerLetter"/>
      <w:start w:val="1"/>
    </w:lvl>
  </w:abstractNum>
  <w:abstractNum w:abstractNumId="156">
    <w:nsid w:val="56C28E34"/>
    <w:multiLevelType w:val="hybridMultilevel"/>
    <w:lvl w:ilvl="0">
      <w:lvlJc w:val="left"/>
      <w:lvlText w:val="(%1)"/>
      <w:numFmt w:val="lowerLetter"/>
      <w:start w:val="61"/>
    </w:lvl>
    <w:lvl w:ilvl="1">
      <w:lvlJc w:val="left"/>
      <w:lvlText w:val="(%2)"/>
      <w:numFmt w:val="lowerLetter"/>
      <w:start w:val="2"/>
    </w:lvl>
  </w:abstractNum>
  <w:abstractNum w:abstractNumId="157">
    <w:nsid w:val="13916F2D"/>
    <w:multiLevelType w:val="hybridMultilevel"/>
    <w:lvl w:ilvl="0">
      <w:lvlJc w:val="left"/>
      <w:lvlText w:val="(%1)"/>
      <w:numFmt w:val="lowerLetter"/>
      <w:start w:val="3"/>
    </w:lvl>
  </w:abstractNum>
  <w:abstractNum w:abstractNumId="158">
    <w:nsid w:val="435D38D"/>
    <w:multiLevelType w:val="hybridMultilevel"/>
    <w:lvl w:ilvl="0">
      <w:lvlJc w:val="left"/>
      <w:lvlText w:val="(%1)"/>
      <w:numFmt w:val="lowerLetter"/>
      <w:start w:val="1"/>
    </w:lvl>
  </w:abstractNum>
  <w:abstractNum w:abstractNumId="159">
    <w:nsid w:val="822C0EF"/>
    <w:multiLevelType w:val="hybridMultilevel"/>
    <w:lvl w:ilvl="0">
      <w:lvlJc w:val="left"/>
      <w:lvlText w:val="(%1)"/>
      <w:numFmt w:val="lowerLetter"/>
      <w:start w:val="2"/>
    </w:lvl>
  </w:abstractNum>
  <w:abstractNum w:abstractNumId="160">
    <w:nsid w:val="57C5BB4F"/>
    <w:multiLevelType w:val="hybridMultilevel"/>
    <w:lvl w:ilvl="0">
      <w:lvlJc w:val="left"/>
      <w:lvlText w:val="(%1)"/>
      <w:numFmt w:val="lowerLetter"/>
      <w:start w:val="1"/>
    </w:lvl>
  </w:abstractNum>
  <w:abstractNum w:abstractNumId="161">
    <w:nsid w:val="1803D089"/>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
    </w:lvl>
  </w:abstractNum>
  <w:abstractNum w:abstractNumId="162">
    <w:nsid w:val="4F3A06D4"/>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163">
    <w:nsid w:val="59A377B6"/>
    <w:multiLevelType w:val="hybridMultilevel"/>
    <w:lvl w:ilvl="0">
      <w:lvlJc w:val="left"/>
      <w:lvlText w:val="(%1)"/>
      <w:numFmt w:val="lowerLetter"/>
      <w:start w:val="9"/>
    </w:lvl>
    <w:lvl w:ilvl="1">
      <w:lvlJc w:val="left"/>
      <w:lvlText w:val="%2"/>
      <w:numFmt w:val="lowerRoman"/>
      <w:start w:val="1"/>
    </w:lvl>
    <w:lvl w:ilvl="2">
      <w:lvlJc w:val="left"/>
      <w:lvlText w:val="(%3)"/>
      <w:numFmt w:val="lowerLetter"/>
      <w:start w:val="3"/>
    </w:lvl>
  </w:abstractNum>
  <w:abstractNum w:abstractNumId="164">
    <w:nsid w:val="48AEB063"/>
    <w:multiLevelType w:val="hybridMultilevel"/>
    <w:lvl w:ilvl="0">
      <w:lvlJc w:val="left"/>
      <w:lvlText w:val="(%1)"/>
      <w:numFmt w:val="lowerLetter"/>
      <w:start w:val="5"/>
    </w:lvl>
  </w:abstractNum>
  <w:abstractNum w:abstractNumId="165">
    <w:nsid w:val="24E135"/>
    <w:multiLevelType w:val="hybridMultilevel"/>
    <w:lvl w:ilvl="0">
      <w:lvlJc w:val="left"/>
      <w:lvlText w:val="%1"/>
      <w:numFmt w:val="lowerRoman"/>
      <w:start w:val="1"/>
    </w:lvl>
    <w:lvl w:ilvl="1">
      <w:lvlJc w:val="left"/>
      <w:lvlText w:val="(%2)"/>
      <w:numFmt w:val="lowerLetter"/>
      <w:start w:val="1"/>
    </w:lvl>
  </w:abstractNum>
  <w:abstractNum w:abstractNumId="166">
    <w:nsid w:val="BB13C1"/>
    <w:multiLevelType w:val="hybridMultilevel"/>
    <w:lvl w:ilvl="0">
      <w:lvlJc w:val="left"/>
      <w:lvlText w:val="(%1)"/>
      <w:numFmt w:val="lowerRoman"/>
      <w:start w:val="1"/>
    </w:lvl>
    <w:lvl w:ilvl="1">
      <w:lvlJc w:val="left"/>
      <w:lvlText w:val="%2"/>
      <w:numFmt w:val="lowerLetter"/>
      <w:start w:val="1"/>
    </w:lvl>
  </w:abstractNum>
  <w:abstractNum w:abstractNumId="167">
    <w:nsid w:val="271210C7"/>
    <w:multiLevelType w:val="hybridMultilevel"/>
    <w:lvl w:ilvl="0">
      <w:lvlJc w:val="left"/>
      <w:lvlText w:val="(%1)"/>
      <w:numFmt w:val="lowerRoman"/>
      <w:start w:val="3"/>
    </w:lvl>
  </w:abstractNum>
  <w:abstractNum w:abstractNumId="168">
    <w:nsid w:val="217B22E4"/>
    <w:multiLevelType w:val="hybridMultilevel"/>
    <w:lvl w:ilvl="0">
      <w:lvlJc w:val="left"/>
      <w:lvlText w:val="%1"/>
      <w:numFmt w:val="lowerRoman"/>
      <w:start w:val="1"/>
    </w:lvl>
    <w:lvl w:ilvl="1">
      <w:lvlJc w:val="left"/>
      <w:lvlText w:val="(%2)"/>
      <w:numFmt w:val="lowerLetter"/>
      <w:start w:val="3"/>
    </w:lvl>
  </w:abstractNum>
  <w:abstractNum w:abstractNumId="169">
    <w:nsid w:val="53E31A24"/>
    <w:multiLevelType w:val="hybridMultilevel"/>
    <w:lvl w:ilvl="0">
      <w:lvlJc w:val="left"/>
      <w:lvlText w:val="(%1)"/>
      <w:numFmt w:val="lowerRoman"/>
      <w:start w:val="1"/>
    </w:lvl>
    <w:lvl w:ilvl="1">
      <w:lvlJc w:val="left"/>
      <w:lvlText w:val="%2"/>
      <w:numFmt w:val="lowerLetter"/>
      <w:start w:val="1"/>
    </w:lvl>
  </w:abstractNum>
  <w:abstractNum w:abstractNumId="170">
    <w:nsid w:val="6DC45E83"/>
    <w:multiLevelType w:val="hybridMultilevel"/>
    <w:lvl w:ilvl="0">
      <w:lvlJc w:val="left"/>
      <w:lvlText w:val="(%1)"/>
      <w:numFmt w:val="lowerLetter"/>
      <w:start w:val="5"/>
    </w:lvl>
    <w:lvl w:ilvl="1">
      <w:lvlJc w:val="left"/>
      <w:lvlText w:val="(%2)"/>
      <w:numFmt w:val="lowerLetter"/>
      <w:start w:val="9"/>
    </w:lvl>
  </w:abstractNum>
  <w:abstractNum w:abstractNumId="171">
    <w:nsid w:val="17304A67"/>
    <w:multiLevelType w:val="hybridMultilevel"/>
    <w:lvl w:ilvl="0">
      <w:lvlJc w:val="left"/>
      <w:lvlText w:val="(%1)"/>
      <w:numFmt w:val="lowerLetter"/>
      <w:start w:val="25"/>
    </w:lvl>
    <w:lvl w:ilvl="1">
      <w:lvlJc w:val="left"/>
      <w:lvlText w:val="%2"/>
      <w:numFmt w:val="lowerLetter"/>
      <w:start w:val="1"/>
    </w:lvl>
  </w:abstractNum>
  <w:abstractNum w:abstractNumId="172">
    <w:nsid w:val="2BB180D8"/>
    <w:multiLevelType w:val="hybridMultilevel"/>
    <w:lvl w:ilvl="0">
      <w:lvlJc w:val="left"/>
      <w:lvlText w:val="(%1)"/>
      <w:numFmt w:val="lowerRoman"/>
      <w:start w:val="2"/>
    </w:lvl>
  </w:abstractNum>
  <w:abstractNum w:abstractNumId="173">
    <w:nsid w:val="556B69ED"/>
    <w:multiLevelType w:val="hybridMultilevel"/>
    <w:lvl w:ilvl="0">
      <w:lvlJc w:val="left"/>
      <w:lvlText w:val="(%1)"/>
      <w:numFmt w:val="lowerRoman"/>
      <w:start w:val="3"/>
    </w:lvl>
    <w:lvl w:ilvl="1">
      <w:lvlJc w:val="left"/>
      <w:lvlText w:val="(%2)"/>
      <w:numFmt w:val="lowerLetter"/>
      <w:start w:val="6"/>
    </w:lvl>
  </w:abstractNum>
  <w:abstractNum w:abstractNumId="174">
    <w:nsid w:val="70836196"/>
    <w:multiLevelType w:val="hybridMultilevel"/>
    <w:lvl w:ilvl="0">
      <w:lvlJc w:val="left"/>
      <w:lvlText w:val="(%1)"/>
      <w:numFmt w:val="lowerRoman"/>
      <w:start w:val="1"/>
    </w:lvl>
  </w:abstractNum>
  <w:abstractNum w:abstractNumId="175">
    <w:nsid w:val="539F7F12"/>
    <w:multiLevelType w:val="hybridMultilevel"/>
    <w:lvl w:ilvl="0">
      <w:lvlJc w:val="left"/>
      <w:lvlText w:val=";"/>
      <w:numFmt w:val="bullet"/>
      <w:start w:val="1"/>
    </w:lvl>
    <w:lvl w:ilvl="1">
      <w:lvlJc w:val="left"/>
      <w:lvlText w:val="(%2)"/>
      <w:numFmt w:val="upperLetter"/>
      <w:start w:val="1"/>
    </w:lvl>
  </w:abstractNum>
  <w:abstractNum w:abstractNumId="176">
    <w:nsid w:val="2817E7EC"/>
    <w:multiLevelType w:val="hybridMultilevel"/>
    <w:lvl w:ilvl="0">
      <w:lvlJc w:val="left"/>
      <w:lvlText w:val="(%1)"/>
      <w:numFmt w:val="upperLetter"/>
      <w:start w:val="2"/>
    </w:lvl>
  </w:abstractNum>
  <w:abstractNum w:abstractNumId="177">
    <w:nsid w:val="71482545"/>
    <w:multiLevelType w:val="hybridMultilevel"/>
    <w:lvl w:ilvl="0">
      <w:lvlJc w:val="left"/>
      <w:lvlText w:val="(%1)"/>
      <w:numFmt w:val="lowerLetter"/>
      <w:start w:val="1"/>
    </w:lvl>
  </w:abstractNum>
  <w:abstractNum w:abstractNumId="178">
    <w:nsid w:val="17D78639"/>
    <w:multiLevelType w:val="hybridMultilevel"/>
    <w:lvl w:ilvl="0">
      <w:lvlJc w:val="left"/>
      <w:lvlText w:val="(%1)"/>
      <w:numFmt w:val="lowerLetter"/>
      <w:start w:val="2"/>
    </w:lvl>
  </w:abstractNum>
  <w:abstractNum w:abstractNumId="179">
    <w:nsid w:val="141D2302"/>
    <w:multiLevelType w:val="hybridMultilevel"/>
    <w:lvl w:ilvl="0">
      <w:lvlJc w:val="left"/>
      <w:lvlText w:val="(%1)"/>
      <w:numFmt w:val="lowerLetter"/>
      <w:start w:val="1"/>
    </w:lvl>
  </w:abstractNum>
  <w:abstractNum w:abstractNumId="180">
    <w:nsid w:val="407168D8"/>
    <w:multiLevelType w:val="hybridMultilevel"/>
    <w:lvl w:ilvl="0">
      <w:lvlJc w:val="left"/>
      <w:lvlText w:val="(%1)"/>
      <w:numFmt w:val="lowerLetter"/>
      <w:start w:val="5"/>
    </w:lvl>
  </w:abstractNum>
  <w:abstractNum w:abstractNumId="181">
    <w:nsid w:val="6A1B45E5"/>
    <w:multiLevelType w:val="hybridMultilevel"/>
    <w:lvl w:ilvl="0">
      <w:lvlJc w:val="left"/>
      <w:lvlText w:val="(%1)"/>
      <w:numFmt w:val="lowerRoman"/>
      <w:start w:val="1"/>
    </w:lvl>
  </w:abstractNum>
  <w:abstractNum w:abstractNumId="182">
    <w:nsid w:val="567BD50A"/>
    <w:multiLevelType w:val="hybridMultilevel"/>
    <w:lvl w:ilvl="0">
      <w:lvlJc w:val="left"/>
      <w:lvlText w:val="%1"/>
      <w:numFmt w:val="upperLetter"/>
      <w:start w:val="35"/>
    </w:lvl>
  </w:abstractNum>
  <w:abstractNum w:abstractNumId="183">
    <w:nsid w:val="73BBD7F8"/>
    <w:multiLevelType w:val="hybridMultilevel"/>
    <w:lvl w:ilvl="0">
      <w:lvlJc w:val="left"/>
      <w:lvlText w:val="%1"/>
      <w:numFmt w:val="decimal"/>
      <w:start w:val="1"/>
    </w:lvl>
    <w:lvl w:ilvl="1">
      <w:lvlJc w:val="left"/>
      <w:lvlText w:val="(%2)"/>
      <w:numFmt w:val="lowerLetter"/>
      <w:start w:val="1"/>
    </w:lvl>
  </w:abstractNum>
  <w:abstractNum w:abstractNumId="184">
    <w:nsid w:val="1876589D"/>
    <w:multiLevelType w:val="hybridMultilevel"/>
    <w:lvl w:ilvl="0">
      <w:lvlJc w:val="left"/>
      <w:lvlText w:val="(%1)"/>
      <w:numFmt w:val="decimal"/>
      <w:start w:val="10"/>
    </w:lvl>
    <w:lvl w:ilvl="1">
      <w:lvlJc w:val="left"/>
      <w:lvlText w:val="(%2)"/>
      <w:numFmt w:val="lowerLetter"/>
      <w:start w:val="2"/>
    </w:lvl>
  </w:abstractNum>
  <w:abstractNum w:abstractNumId="185">
    <w:nsid w:val="327FAC77"/>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lvl w:ilvl="3">
      <w:lvlJc w:val="left"/>
      <w:lvlText w:val="%4"/>
      <w:numFmt w:val="decimal"/>
      <w:start w:val="1"/>
    </w:lvl>
  </w:abstractNum>
  <w:abstractNum w:abstractNumId="186">
    <w:nsid w:val="5A606509"/>
    <w:multiLevelType w:val="hybridMultilevel"/>
    <w:lvl w:ilvl="0">
      <w:lvlJc w:val="left"/>
      <w:lvlText w:val="(%1)"/>
      <w:numFmt w:val="lowerLetter"/>
      <w:start w:val="9"/>
    </w:lvl>
    <w:lvl w:ilvl="1">
      <w:lvlJc w:val="left"/>
      <w:lvlText w:val="%2"/>
      <w:numFmt w:val="lowerLetter"/>
      <w:start w:val="1"/>
    </w:lvl>
    <w:lvl w:ilvl="2">
      <w:lvlJc w:val="left"/>
      <w:lvlText w:val="(%3)"/>
      <w:numFmt w:val="upperLetter"/>
      <w:start w:val="1"/>
    </w:lvl>
    <w:lvl w:ilvl="3">
      <w:lvlJc w:val="left"/>
      <w:lvlText w:val="(%4)"/>
      <w:numFmt w:val="decimal"/>
      <w:start w:val="1"/>
    </w:lvl>
  </w:abstractNum>
  <w:abstractNum w:abstractNumId="187">
    <w:nsid w:val="6F38E6D1"/>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lvl w:ilvl="3">
      <w:lvlJc w:val="left"/>
      <w:lvlText w:val="(%4)"/>
      <w:numFmt w:val="decimal"/>
      <w:start w:val="1"/>
    </w:lvl>
  </w:abstractNum>
  <w:abstractNum w:abstractNumId="188">
    <w:nsid w:val="46111BA5"/>
    <w:multiLevelType w:val="hybridMultilevel"/>
    <w:lvl w:ilvl="0">
      <w:lvlJc w:val="left"/>
      <w:lvlText w:val="(%1)"/>
      <w:numFmt w:val="lowerLetter"/>
      <w:start w:val="35"/>
    </w:lvl>
    <w:lvl w:ilvl="1">
      <w:lvlJc w:val="left"/>
      <w:lvlText w:val="(%2)"/>
      <w:numFmt w:val="lowerLetter"/>
      <w:start w:val="2"/>
    </w:lvl>
    <w:lvl w:ilvl="2">
      <w:lvlJc w:val="left"/>
      <w:lvlText w:val="%3"/>
      <w:numFmt w:val="upperLetter"/>
      <w:start w:val="1"/>
    </w:lvl>
    <w:lvl w:ilvl="3">
      <w:lvlJc w:val="left"/>
      <w:lvlText w:val="%4"/>
      <w:numFmt w:val="decimal"/>
      <w:start w:val="1"/>
    </w:lvl>
  </w:abstractNum>
  <w:abstractNum w:abstractNumId="189">
    <w:nsid w:val="5E963896"/>
    <w:multiLevelType w:val="hybridMultilevel"/>
    <w:lvl w:ilvl="0">
      <w:lvlJc w:val="left"/>
      <w:lvlText w:val="(%1)"/>
      <w:numFmt w:val="lowerRoman"/>
      <w:start w:val="1"/>
    </w:lvl>
  </w:abstractNum>
  <w:abstractNum w:abstractNumId="190">
    <w:nsid w:val="775BA7C1"/>
    <w:multiLevelType w:val="hybridMultilevel"/>
    <w:lvl w:ilvl="0">
      <w:lvlJc w:val="left"/>
      <w:lvlText w:val="%1"/>
      <w:numFmt w:val="lowerRoman"/>
      <w:start w:val="1"/>
    </w:lvl>
    <w:lvl w:ilvl="1">
      <w:lvlJc w:val="left"/>
      <w:lvlText w:val="(%2)"/>
      <w:numFmt w:val="lowerLetter"/>
      <w:start w:val="3"/>
    </w:lvl>
  </w:abstractNum>
  <w:abstractNum w:abstractNumId="191">
    <w:nsid w:val="1DD6D6F4"/>
    <w:multiLevelType w:val="hybridMultilevel"/>
    <w:lvl w:ilvl="0">
      <w:lvlJc w:val="left"/>
      <w:lvlText w:val="(%1)"/>
      <w:numFmt w:val="lowerRoman"/>
      <w:start w:val="1"/>
    </w:lvl>
    <w:lvl w:ilvl="1">
      <w:lvlJc w:val="left"/>
      <w:lvlText w:val="(%2)"/>
      <w:numFmt w:val="lowerLetter"/>
      <w:start w:val="4"/>
    </w:lvl>
  </w:abstractNum>
  <w:abstractNum w:abstractNumId="192">
    <w:nsid w:val="769A091F"/>
    <w:multiLevelType w:val="hybridMultilevel"/>
    <w:lvl w:ilvl="0">
      <w:lvlJc w:val="left"/>
      <w:lvlText w:val="(%1)"/>
      <w:numFmt w:val="lowerRoman"/>
      <w:start w:val="1"/>
    </w:lvl>
  </w:abstractNum>
  <w:abstractNum w:abstractNumId="193">
    <w:nsid w:val="4695AE95"/>
    <w:multiLevelType w:val="hybridMultilevel"/>
    <w:lvl w:ilvl="0">
      <w:lvlJc w:val="left"/>
      <w:lvlText w:val="(%1)"/>
      <w:numFmt w:val="lowerLetter"/>
      <w:start w:val="5"/>
    </w:lvl>
  </w:abstractNum>
  <w:abstractNum w:abstractNumId="194">
    <w:nsid w:val="777A4EAA"/>
    <w:multiLevelType w:val="hybridMultilevel"/>
    <w:lvl w:ilvl="0">
      <w:lvlJc w:val="left"/>
      <w:lvlText w:val="%1"/>
      <w:numFmt w:val="lowerRoman"/>
      <w:start w:val="1"/>
    </w:lvl>
    <w:lvl w:ilvl="1">
      <w:lvlJc w:val="left"/>
      <w:lvlText w:val="(%2)"/>
      <w:numFmt w:val="lowerLetter"/>
      <w:start w:val="6"/>
    </w:lvl>
  </w:abstractNum>
  <w:abstractNum w:abstractNumId="195">
    <w:nsid w:val="3F48B982"/>
    <w:multiLevelType w:val="hybridMultilevel"/>
    <w:lvl w:ilvl="0">
      <w:lvlJc w:val="left"/>
      <w:lvlText w:val="(%1)"/>
      <w:numFmt w:val="lowerRoman"/>
      <w:start w:val="1"/>
    </w:lvl>
    <w:lvl w:ilvl="1">
      <w:lvlJc w:val="left"/>
      <w:lvlText w:val="%2"/>
      <w:numFmt w:val="lowerLetter"/>
      <w:start w:val="1"/>
    </w:lvl>
  </w:abstractNum>
  <w:abstractNum w:abstractNumId="196">
    <w:nsid w:val="46BA8FCA"/>
    <w:multiLevelType w:val="hybridMultilevel"/>
    <w:lvl w:ilvl="0">
      <w:lvlJc w:val="left"/>
      <w:lvlText w:val="(%1)"/>
      <w:numFmt w:val="lowerLetter"/>
      <w:start w:val="7"/>
    </w:lvl>
  </w:abstractNum>
  <w:abstractNum w:abstractNumId="197">
    <w:nsid w:val="7835626C"/>
    <w:multiLevelType w:val="hybridMultilevel"/>
    <w:lvl w:ilvl="0">
      <w:lvlJc w:val="left"/>
      <w:lvlText w:val="(%1)"/>
      <w:numFmt w:val="upperLetter"/>
      <w:start w:val="1"/>
    </w:lvl>
  </w:abstractNum>
  <w:abstractNum w:abstractNumId="198">
    <w:nsid w:val="665ACA49"/>
    <w:multiLevelType w:val="hybridMultilevel"/>
    <w:lvl w:ilvl="0">
      <w:lvlJc w:val="left"/>
      <w:lvlText w:val="%1"/>
      <w:numFmt w:val="decimal"/>
      <w:start w:val="1"/>
    </w:lvl>
    <w:lvl w:ilvl="1">
      <w:lvlJc w:val="left"/>
      <w:lvlText w:val="(%2)"/>
      <w:numFmt w:val="upperLetter"/>
      <w:start w:val="2"/>
    </w:lvl>
  </w:abstractNum>
  <w:abstractNum w:abstractNumId="199">
    <w:nsid w:val="6835B2AE"/>
    <w:multiLevelType w:val="hybridMultilevel"/>
    <w:lvl w:ilvl="0">
      <w:lvlJc w:val="left"/>
      <w:lvlText w:val="(%1)"/>
      <w:numFmt w:val="decimal"/>
      <w:start w:val="1"/>
    </w:lvl>
    <w:lvl w:ilvl="1">
      <w:lvlJc w:val="left"/>
      <w:lvlText w:val="%2"/>
      <w:numFmt w:val="upperLetter"/>
      <w:start w:val="1"/>
    </w:lvl>
  </w:abstractNum>
  <w:abstractNum w:abstractNumId="200">
    <w:nsid w:val="4C187C90"/>
    <w:multiLevelType w:val="hybridMultilevel"/>
    <w:lvl w:ilvl="0">
      <w:lvlJc w:val="left"/>
      <w:lvlText w:val="%1"/>
      <w:numFmt w:val="upperLetter"/>
      <w:start w:val="1"/>
    </w:lvl>
    <w:lvl w:ilvl="1">
      <w:lvlJc w:val="left"/>
      <w:lvlText w:val="(%2)"/>
      <w:numFmt w:val="upperLetter"/>
      <w:start w:val="5"/>
    </w:lvl>
  </w:abstractNum>
  <w:abstractNum w:abstractNumId="201">
    <w:nsid w:val="541F28CD"/>
    <w:multiLevelType w:val="hybridMultilevel"/>
    <w:lvl w:ilvl="0">
      <w:lvlJc w:val="left"/>
      <w:lvlText w:val="(%1)"/>
      <w:numFmt w:val="upperLetter"/>
      <w:start w:val="6"/>
    </w:lvl>
    <w:lvl w:ilvl="1">
      <w:lvlJc w:val="left"/>
      <w:lvlText w:val="%2"/>
      <w:numFmt w:val="upperLetter"/>
      <w:start w:val="1"/>
    </w:lvl>
  </w:abstractNum>
  <w:abstractNum w:abstractNumId="202">
    <w:nsid w:val="7F65FD16"/>
    <w:multiLevelType w:val="hybridMultilevel"/>
    <w:lvl w:ilvl="0">
      <w:lvlJc w:val="left"/>
      <w:lvlText w:val="(%1)"/>
      <w:numFmt w:val="decimal"/>
      <w:start w:val="1"/>
    </w:lvl>
  </w:abstractNum>
  <w:abstractNum w:abstractNumId="203">
    <w:nsid w:val="77C9FD68"/>
    <w:multiLevelType w:val="hybridMultilevel"/>
    <w:lvl w:ilvl="0">
      <w:lvlJc w:val="left"/>
      <w:lvlText w:val="(%1)"/>
      <w:numFmt w:val="decimal"/>
      <w:start w:val="2"/>
    </w:lvl>
  </w:abstractNum>
  <w:abstractNum w:abstractNumId="204">
    <w:nsid w:val="298A92BA"/>
    <w:multiLevelType w:val="hybridMultilevel"/>
    <w:lvl w:ilvl="0">
      <w:lvlJc w:val="left"/>
      <w:lvlText w:val="(%1)"/>
      <w:numFmt w:val="decimal"/>
      <w:start w:val="1"/>
    </w:lvl>
  </w:abstractNum>
  <w:abstractNum w:abstractNumId="205">
    <w:nsid w:val="6FE95EAC"/>
    <w:multiLevelType w:val="hybridMultilevel"/>
    <w:lvl w:ilvl="0">
      <w:lvlJc w:val="left"/>
      <w:lvlText w:val="(%1)"/>
      <w:numFmt w:val="decimal"/>
      <w:start w:val="1"/>
    </w:lvl>
  </w:abstractNum>
  <w:abstractNum w:abstractNumId="206">
    <w:nsid w:val="4B697C7A"/>
    <w:multiLevelType w:val="hybridMultilevel"/>
    <w:lvl w:ilvl="0">
      <w:lvlJc w:val="left"/>
      <w:lvlText w:val="(%1)"/>
      <w:numFmt w:val="decimal"/>
      <w:start w:val="1"/>
    </w:lvl>
  </w:abstractNum>
  <w:abstractNum w:abstractNumId="207">
    <w:nsid w:val="51A27AA6"/>
    <w:multiLevelType w:val="hybridMultilevel"/>
    <w:lvl w:ilvl="0">
      <w:lvlJc w:val="left"/>
      <w:lvlText w:val="(%1)"/>
      <w:numFmt w:val="lowerLetter"/>
      <w:start w:val="8"/>
    </w:lvl>
  </w:abstractNum>
  <w:abstractNum w:abstractNumId="208">
    <w:nsid w:val="613183F2"/>
    <w:multiLevelType w:val="hybridMultilevel"/>
    <w:lvl w:ilvl="0">
      <w:lvlJc w:val="left"/>
      <w:lvlText w:val="(%1)"/>
      <w:numFmt w:val="lowerRoman"/>
      <w:start w:val="1"/>
    </w:lvl>
  </w:abstractNum>
  <w:abstractNum w:abstractNumId="209">
    <w:nsid w:val="634102B4"/>
    <w:multiLevelType w:val="hybridMultilevel"/>
    <w:lvl w:ilvl="0">
      <w:lvlJc w:val="left"/>
      <w:lvlText w:val="(%1)"/>
      <w:numFmt w:val="lowerRoman"/>
      <w:start w:val="7"/>
    </w:lvl>
  </w:abstractNum>
  <w:abstractNum w:abstractNumId="210">
    <w:nsid w:val="65BF9DA8"/>
    <w:multiLevelType w:val="hybridMultilevel"/>
    <w:lvl w:ilvl="0">
      <w:lvlJc w:val="left"/>
      <w:lvlText w:val="(%1)"/>
      <w:numFmt w:val="lowerLetter"/>
      <w:start w:val="1"/>
    </w:lvl>
  </w:abstractNum>
  <w:abstractNum w:abstractNumId="211">
    <w:nsid w:val="21A2ECCA"/>
    <w:multiLevelType w:val="hybridMultilevel"/>
    <w:lvl w:ilvl="0">
      <w:lvlJc w:val="left"/>
      <w:lvlText w:val="(%1)"/>
      <w:numFmt w:val="lowerLetter"/>
      <w:start w:val="2"/>
    </w:lvl>
  </w:abstractNum>
  <w:abstractNum w:abstractNumId="212">
    <w:nsid w:val="4D5C4899"/>
    <w:multiLevelType w:val="hybridMultilevel"/>
    <w:lvl w:ilvl="0">
      <w:lvlJc w:val="left"/>
      <w:lvlText w:val="(%1)"/>
      <w:numFmt w:val="lowerLetter"/>
      <w:start w:val="1"/>
    </w:lvl>
  </w:abstractNum>
  <w:abstractNum w:abstractNumId="213">
    <w:nsid w:val="3C3B72B2"/>
    <w:multiLevelType w:val="hybridMultilevel"/>
    <w:lvl w:ilvl="0">
      <w:lvlJc w:val="left"/>
      <w:lvlText w:val="(%1)"/>
      <w:numFmt w:val="lowerLetter"/>
      <w:start w:val="2"/>
    </w:lvl>
  </w:abstractNum>
  <w:abstractNum w:abstractNumId="214">
    <w:nsid w:val="155EC4C2"/>
    <w:multiLevelType w:val="hybridMultilevel"/>
    <w:lvl w:ilvl="0">
      <w:lvlJc w:val="left"/>
      <w:lvlText w:val="(%1)"/>
      <w:numFmt w:val="lowerRoman"/>
      <w:start w:val="3"/>
    </w:lvl>
  </w:abstractNum>
  <w:abstractNum w:abstractNumId="215">
    <w:nsid w:val="65D2A137"/>
    <w:multiLevelType w:val="hybridMultilevel"/>
    <w:lvl w:ilvl="0">
      <w:lvlJc w:val="left"/>
      <w:lvlText w:val="(%1)"/>
      <w:numFmt w:val="lowerRoman"/>
      <w:start w:val="1"/>
    </w:lvl>
  </w:abstractNum>
  <w:abstractNum w:abstractNumId="216">
    <w:nsid w:val="6EBB1F2A"/>
    <w:multiLevelType w:val="hybridMultilevel"/>
    <w:lvl w:ilvl="0">
      <w:lvlJc w:val="left"/>
      <w:lvlText w:val="(%1)"/>
      <w:numFmt w:val="lowerLetter"/>
      <w:start w:val="2"/>
    </w:lvl>
  </w:abstractNum>
  <w:abstractNum w:abstractNumId="217">
    <w:nsid w:val="6FBF29CB"/>
    <w:multiLevelType w:val="hybridMultilevel"/>
    <w:lvl w:ilvl="0">
      <w:lvlJc w:val="left"/>
      <w:lvlText w:val="(%1)"/>
      <w:numFmt w:val="lowerLetter"/>
      <w:start w:val="1"/>
    </w:lvl>
  </w:abstractNum>
  <w:abstractNum w:abstractNumId="218">
    <w:nsid w:val="550B8808"/>
    <w:multiLevelType w:val="hybridMultilevel"/>
    <w:lvl w:ilvl="0">
      <w:lvlJc w:val="left"/>
      <w:lvlText w:val="(%1)"/>
      <w:numFmt w:val="lowerLetter"/>
      <w:start w:val="1"/>
    </w:lvl>
  </w:abstractNum>
  <w:abstractNum w:abstractNumId="219">
    <w:nsid w:val="34CC3ACF"/>
    <w:multiLevelType w:val="hybridMultilevel"/>
    <w:lvl w:ilvl="0">
      <w:lvlJc w:val="left"/>
      <w:lvlText w:val="(%1)"/>
      <w:numFmt w:val="lowerLetter"/>
      <w:start w:val="2"/>
    </w:lvl>
  </w:abstractNum>
  <w:abstractNum w:abstractNumId="220">
    <w:nsid w:val="4E556261"/>
    <w:multiLevelType w:val="hybridMultilevel"/>
    <w:lvl w:ilvl="0">
      <w:lvlJc w:val="left"/>
      <w:lvlText w:val="(%1)"/>
      <w:numFmt w:val="lowerLetter"/>
      <w:start w:val="1"/>
    </w:lvl>
  </w:abstractNum>
  <w:abstractNum w:abstractNumId="221">
    <w:nsid w:val="4C672FC9"/>
    <w:multiLevelType w:val="hybridMultilevel"/>
    <w:lvl w:ilvl="0">
      <w:lvlJc w:val="left"/>
      <w:lvlText w:val="(%1)"/>
      <w:numFmt w:val="lowerLetter"/>
      <w:start w:val="3"/>
    </w:lvl>
  </w:abstractNum>
  <w:abstractNum w:abstractNumId="222">
    <w:nsid w:val="52A311C3"/>
    <w:multiLevelType w:val="hybridMultilevel"/>
    <w:lvl w:ilvl="0">
      <w:lvlJc w:val="left"/>
      <w:lvlText w:val="(%1)"/>
      <w:numFmt w:val="lowerLetter"/>
      <w:start w:val="2"/>
    </w:lvl>
  </w:abstractNum>
  <w:abstractNum w:abstractNumId="223">
    <w:nsid w:val="44EF6B80"/>
    <w:multiLevelType w:val="hybridMultilevel"/>
    <w:lvl w:ilvl="0">
      <w:lvlJc w:val="left"/>
      <w:lvlText w:val="(%1)"/>
      <w:numFmt w:val="lowerLetter"/>
      <w:start w:val="3"/>
    </w:lvl>
  </w:abstractNum>
  <w:abstractNum w:abstractNumId="224">
    <w:nsid w:val="12FCDE5E"/>
    <w:multiLevelType w:val="hybridMultilevel"/>
    <w:lvl w:ilvl="0">
      <w:lvlJc w:val="left"/>
      <w:lvlText w:val="(%1)"/>
      <w:numFmt w:val="lowerRoman"/>
      <w:start w:val="1"/>
    </w:lvl>
  </w:abstractNum>
  <w:abstractNum w:abstractNumId="225">
    <w:nsid w:val="4A1D606E"/>
    <w:multiLevelType w:val="hybridMultilevel"/>
    <w:lvl w:ilvl="0">
      <w:lvlJc w:val="left"/>
      <w:lvlText w:val="(%1)"/>
      <w:numFmt w:val="lowerLetter"/>
      <w:start w:val="1"/>
    </w:lvl>
  </w:abstractNum>
  <w:abstractNum w:abstractNumId="226">
    <w:nsid w:val="4382503"/>
    <w:multiLevelType w:val="hybridMultilevel"/>
    <w:lvl w:ilvl="0">
      <w:lvlJc w:val="left"/>
      <w:lvlText w:val="(%1)"/>
      <w:numFmt w:val="lowerLetter"/>
      <w:start w:val="1"/>
    </w:lvl>
  </w:abstractNum>
  <w:abstractNum w:abstractNumId="227">
    <w:nsid w:val="59B76E28"/>
    <w:multiLevelType w:val="hybridMultilevel"/>
    <w:lvl w:ilvl="0">
      <w:lvlJc w:val="left"/>
      <w:lvlText w:val="(%1)"/>
      <w:numFmt w:val="upperLetter"/>
      <w:start w:val="6"/>
    </w:lvl>
  </w:abstractNum>
  <w:abstractNum w:abstractNumId="228">
    <w:nsid w:val="4252C2DA"/>
    <w:multiLevelType w:val="hybridMultilevel"/>
    <w:lvl w:ilvl="0">
      <w:lvlJc w:val="left"/>
      <w:lvlText w:val="(%1)"/>
      <w:numFmt w:val="lowerLetter"/>
      <w:start w:val="1"/>
    </w:lvl>
  </w:abstractNum>
  <w:abstractNum w:abstractNumId="229">
    <w:nsid w:val="6A92EF4C"/>
    <w:multiLevelType w:val="hybridMultilevel"/>
    <w:lvl w:ilvl="0">
      <w:lvlJc w:val="left"/>
      <w:lvlText w:val="(%1)"/>
      <w:numFmt w:val="lowerLetter"/>
      <w:start w:val="4"/>
    </w:lvl>
  </w:abstractNum>
  <w:abstractNum w:abstractNumId="230">
    <w:nsid w:val="41ED20D7"/>
    <w:multiLevelType w:val="hybridMultilevel"/>
    <w:lvl w:ilvl="0">
      <w:lvlJc w:val="left"/>
      <w:lvlText w:val="(%1)"/>
      <w:numFmt w:val="lowerLetter"/>
      <w:start w:val="7"/>
    </w:lvl>
  </w:abstractNum>
  <w:abstractNum w:abstractNumId="231">
    <w:nsid w:val="E6B3F6A"/>
    <w:multiLevelType w:val="hybridMultilevel"/>
    <w:lvl w:ilvl="0">
      <w:lvlJc w:val="left"/>
      <w:lvlText w:val="(%1)"/>
      <w:numFmt w:val="lowerLetter"/>
      <w:start w:val="1"/>
    </w:lvl>
  </w:abstractNum>
  <w:abstractNum w:abstractNumId="232">
    <w:nsid w:val="3EB21819"/>
    <w:multiLevelType w:val="hybridMultilevel"/>
    <w:lvl w:ilvl="0">
      <w:lvlJc w:val="left"/>
      <w:lvlText w:val="%1"/>
      <w:numFmt w:val="lowerLetter"/>
      <w:start w:val="1"/>
    </w:lvl>
    <w:lvl w:ilvl="1">
      <w:lvlJc w:val="left"/>
      <w:lvlText w:val="(%2)"/>
      <w:numFmt w:val="lowerLetter"/>
      <w:start w:val="3"/>
    </w:lvl>
  </w:abstractNum>
  <w:abstractNum w:abstractNumId="233">
    <w:nsid w:val="41531DED"/>
    <w:multiLevelType w:val="hybridMultilevel"/>
    <w:lvl w:ilvl="0">
      <w:lvlJc w:val="left"/>
      <w:lvlText w:val="(%1)"/>
      <w:numFmt w:val="lowerLetter"/>
      <w:start w:val="35"/>
    </w:lvl>
    <w:lvl w:ilvl="1">
      <w:lvlJc w:val="left"/>
      <w:lvlText w:val="%2"/>
      <w:numFmt w:val="lowerLetter"/>
      <w:start w:val="1"/>
    </w:lvl>
  </w:abstractNum>
  <w:abstractNum w:abstractNumId="234">
    <w:nsid w:val="6353CD2"/>
    <w:multiLevelType w:val="hybridMultilevel"/>
    <w:lvl w:ilvl="0">
      <w:lvlJc w:val="left"/>
      <w:lvlText w:val="(%1)"/>
      <w:numFmt w:val="lowerLetter"/>
      <w:start w:val="25"/>
    </w:lvl>
    <w:lvl w:ilvl="1">
      <w:lvlJc w:val="left"/>
      <w:lvlText w:val="%2"/>
      <w:numFmt w:val="lowerLetter"/>
      <w:start w:val="1"/>
    </w:lvl>
  </w:abstractNum>
  <w:abstractNum w:abstractNumId="235">
    <w:nsid w:val="683CAAD3"/>
    <w:multiLevelType w:val="hybridMultilevel"/>
    <w:lvl w:ilvl="0">
      <w:lvlJc w:val="left"/>
      <w:lvlText w:val="(%1)"/>
      <w:numFmt w:val="lowerLetter"/>
      <w:start w:val="1"/>
    </w:lvl>
  </w:abstractNum>
  <w:abstractNum w:abstractNumId="236">
    <w:nsid w:val="313C7C99"/>
    <w:multiLevelType w:val="hybridMultilevel"/>
    <w:lvl w:ilvl="0">
      <w:lvlJc w:val="left"/>
      <w:lvlText w:val="(%1)"/>
      <w:numFmt w:val="lowerLetter"/>
      <w:start w:val="1"/>
    </w:lvl>
  </w:abstractNum>
  <w:abstractNum w:abstractNumId="237">
    <w:nsid w:val="519EB94C"/>
    <w:multiLevelType w:val="hybridMultilevel"/>
    <w:lvl w:ilvl="0">
      <w:lvlJc w:val="left"/>
      <w:lvlText w:val="(%1)"/>
      <w:numFmt w:val="lowerLetter"/>
      <w:start w:val="2"/>
    </w:lvl>
  </w:abstractNum>
  <w:abstractNum w:abstractNumId="238">
    <w:nsid w:val="39DF2579"/>
    <w:multiLevelType w:val="hybridMultilevel"/>
    <w:lvl w:ilvl="0">
      <w:lvlJc w:val="left"/>
      <w:lvlText w:val="(%1)"/>
      <w:numFmt w:val="lowerLetter"/>
      <w:start w:val="1"/>
    </w:lvl>
    <w:lvl w:ilvl="1">
      <w:lvlJc w:val="left"/>
      <w:lvlText w:val="(%2)"/>
      <w:numFmt w:val="lowerRoman"/>
      <w:start w:val="1"/>
    </w:lvl>
  </w:abstractNum>
  <w:abstractNum w:abstractNumId="239">
    <w:nsid w:val="126E008B"/>
    <w:multiLevelType w:val="hybridMultilevel"/>
    <w:lvl w:ilvl="0">
      <w:lvlJc w:val="left"/>
      <w:lvlText w:val="(%1)"/>
      <w:numFmt w:val="lowerLetter"/>
      <w:start w:val="1"/>
    </w:lvl>
  </w:abstractNum>
  <w:abstractNum w:abstractNumId="240">
    <w:nsid w:val="34DFBC00"/>
    <w:multiLevelType w:val="hybridMultilevel"/>
    <w:lvl w:ilvl="0">
      <w:lvlJc w:val="left"/>
      <w:lvlText w:val="§"/>
      <w:numFmt w:val="bullet"/>
      <w:start w:val="1"/>
    </w:lvl>
  </w:abstractNum>
  <w:abstractNum w:abstractNumId="241">
    <w:nsid w:val="1F9EC322"/>
    <w:multiLevelType w:val="hybridMultilevel"/>
    <w:lvl w:ilvl="0">
      <w:lvlJc w:val="left"/>
      <w:lvlText w:val="%1"/>
      <w:numFmt w:val="lowerLetter"/>
      <w:start w:val="1"/>
    </w:lvl>
    <w:lvl w:ilvl="1">
      <w:lvlJc w:val="left"/>
      <w:lvlText w:val="(%2)"/>
      <w:numFmt w:val="lowerRoman"/>
      <w:start w:val="1"/>
    </w:lvl>
  </w:abstractNum>
  <w:abstractNum w:abstractNumId="242">
    <w:nsid w:val="3410ED56"/>
    <w:multiLevelType w:val="hybridMultilevel"/>
    <w:lvl w:ilvl="0">
      <w:lvlJc w:val="left"/>
      <w:lvlText w:val="(%1)"/>
      <w:numFmt w:val="lowerLetter"/>
      <w:start w:val="2"/>
    </w:lvl>
    <w:lvl w:ilvl="1">
      <w:lvlJc w:val="left"/>
      <w:lvlText w:val="%2"/>
      <w:numFmt w:val="lowerRoman"/>
      <w:start w:val="1"/>
    </w:lvl>
  </w:abstractNum>
  <w:abstractNum w:abstractNumId="243">
    <w:nsid w:val="23C049A"/>
    <w:multiLevelType w:val="hybridMultilevel"/>
    <w:lvl w:ilvl="0">
      <w:lvlJc w:val="left"/>
      <w:lvlText w:val="(%1)"/>
      <w:numFmt w:val="decimal"/>
      <w:start w:val="15"/>
    </w:lvl>
  </w:abstractNum>
  <w:abstractNum w:abstractNumId="244">
    <w:nsid w:val="5BDA35D4"/>
    <w:multiLevelType w:val="hybridMultilevel"/>
    <w:lvl w:ilvl="0">
      <w:lvlJc w:val="left"/>
      <w:lvlText w:val="(%1)"/>
      <w:numFmt w:val="lowerLetter"/>
      <w:start w:val="3"/>
    </w:lvl>
  </w:abstractNum>
  <w:abstractNum w:abstractNumId="245">
    <w:nsid w:val="496FB218"/>
    <w:multiLevelType w:val="hybridMultilevel"/>
    <w:lvl w:ilvl="0">
      <w:lvlJc w:val="left"/>
      <w:lvlText w:val="(%1)."/>
      <w:numFmt w:val="lowerLetter"/>
      <w:start w:val="4"/>
    </w:lvl>
  </w:abstractNum>
  <w:abstractNum w:abstractNumId="246">
    <w:nsid w:val="680EA5D1"/>
    <w:multiLevelType w:val="hybridMultilevel"/>
    <w:lvl w:ilvl="0">
      <w:lvlJc w:val="left"/>
      <w:lvlText w:val="(%1)"/>
      <w:numFmt w:val="lowerLetter"/>
      <w:start w:val="1"/>
    </w:lvl>
  </w:abstractNum>
  <w:abstractNum w:abstractNumId="247">
    <w:nsid w:val="4A9554FE"/>
    <w:multiLevelType w:val="hybridMultilevel"/>
    <w:lvl w:ilvl="0">
      <w:lvlJc w:val="left"/>
      <w:lvlText w:val="(%1)"/>
      <w:numFmt w:val="lowerLetter"/>
      <w:start w:val="1"/>
    </w:lvl>
  </w:abstractNum>
  <w:abstractNum w:abstractNumId="248">
    <w:nsid w:val="392EDBE4"/>
    <w:multiLevelType w:val="hybridMultilevel"/>
    <w:lvl w:ilvl="0">
      <w:lvlJc w:val="left"/>
      <w:lvlText w:val="(%1)"/>
      <w:numFmt w:val="lowerLetter"/>
      <w:start w:val="9"/>
    </w:lvl>
  </w:abstractNum>
  <w:abstractNum w:abstractNumId="249">
    <w:nsid w:val="3D1A2DD9"/>
    <w:multiLevelType w:val="hybridMultilevel"/>
    <w:lvl w:ilvl="0">
      <w:lvlJc w:val="left"/>
      <w:lvlText w:val="%1"/>
      <w:numFmt w:val="upperLetter"/>
      <w:start w:val="1"/>
    </w:lvl>
    <w:lvl w:ilvl="1">
      <w:lvlJc w:val="left"/>
      <w:lvlText w:val="(%2)"/>
      <w:numFmt w:val="lowerLetter"/>
      <w:start w:val="22"/>
    </w:lvl>
  </w:abstractNum>
  <w:abstractNum w:abstractNumId="250">
    <w:nsid w:val="7F618FCD"/>
    <w:multiLevelType w:val="hybridMultilevel"/>
    <w:lvl w:ilvl="0">
      <w:lvlJc w:val="left"/>
      <w:lvlText w:val="(%1)"/>
      <w:numFmt w:val="upperLetter"/>
      <w:start w:val="2"/>
    </w:lvl>
    <w:lvl w:ilvl="1">
      <w:lvlJc w:val="left"/>
      <w:lvlText w:val="%2"/>
      <w:numFmt w:val="lowerLetter"/>
      <w:start w:val="1"/>
    </w:lvl>
  </w:abstractNum>
  <w:abstractNum w:abstractNumId="251">
    <w:nsid w:val="7843E45"/>
    <w:multiLevelType w:val="hybridMultilevel"/>
    <w:lvl w:ilvl="0">
      <w:lvlJc w:val="left"/>
      <w:lvlText w:val="(%1)"/>
      <w:numFmt w:val="lowerRoman"/>
      <w:start w:val="1"/>
    </w:lvl>
  </w:abstractNum>
  <w:abstractNum w:abstractNumId="252">
    <w:nsid w:val="9815DA3"/>
    <w:multiLevelType w:val="hybridMultilevel"/>
    <w:lvl w:ilvl="0">
      <w:lvlJc w:val="left"/>
      <w:lvlText w:val="(%1)"/>
      <w:numFmt w:val="lowerRoman"/>
      <w:start w:val="1"/>
    </w:lvl>
  </w:abstractNum>
  <w:abstractNum w:abstractNumId="253">
    <w:nsid w:val="5204A191"/>
    <w:multiLevelType w:val="hybridMultilevel"/>
    <w:lvl w:ilvl="0">
      <w:lvlJc w:val="left"/>
      <w:lvlText w:val="(%1)"/>
      <w:numFmt w:val="lowerLetter"/>
      <w:start w:val="1"/>
    </w:lvl>
  </w:abstractNum>
  <w:abstractNum w:abstractNumId="254">
    <w:nsid w:val="4C73A9C6"/>
    <w:multiLevelType w:val="hybridMultilevel"/>
    <w:lvl w:ilvl="0">
      <w:lvlJc w:val="left"/>
      <w:lvlText w:val="(%1)"/>
      <w:numFmt w:val="lowerLetter"/>
      <w:start w:val="3"/>
    </w:lvl>
  </w:abstractNum>
  <w:abstractNum w:abstractNumId="255">
    <w:nsid w:val="1C7E3C01"/>
    <w:multiLevelType w:val="hybridMultilevel"/>
    <w:lvl w:ilvl="0">
      <w:lvlJc w:val="left"/>
      <w:lvlText w:val="(%1)"/>
      <w:numFmt w:val="lowerLetter"/>
      <w:start w:val="2"/>
    </w:lvl>
  </w:abstractNum>
  <w:abstractNum w:abstractNumId="256">
    <w:nsid w:val="1C2201FF"/>
    <w:multiLevelType w:val="hybridMultilevel"/>
    <w:lvl w:ilvl="0">
      <w:lvlJc w:val="left"/>
      <w:lvlText w:val="(%1)"/>
      <w:numFmt w:val="lowerLetter"/>
      <w:start w:val="1"/>
    </w:lvl>
  </w:abstractNum>
  <w:abstractNum w:abstractNumId="257">
    <w:nsid w:val="50ABCEC9"/>
    <w:multiLevelType w:val="hybridMultilevel"/>
    <w:lvl w:ilvl="0">
      <w:lvlJc w:val="left"/>
      <w:lvlText w:val="(%1)"/>
      <w:numFmt w:val="lowerLetter"/>
      <w:start w:val="4"/>
    </w:lvl>
  </w:abstractNum>
  <w:abstractNum w:abstractNumId="258">
    <w:nsid w:val="7635AA2A"/>
    <w:multiLevelType w:val="hybridMultilevel"/>
    <w:lvl w:ilvl="0">
      <w:lvlJc w:val="left"/>
      <w:lvlText w:val="(%1)"/>
      <w:numFmt w:val="lowerLetter"/>
      <w:start w:val="2"/>
    </w:lvl>
  </w:abstractNum>
  <w:abstractNum w:abstractNumId="259">
    <w:nsid w:val="5E74C4D9"/>
    <w:multiLevelType w:val="hybridMultilevel"/>
    <w:lvl w:ilvl="0">
      <w:lvlJc w:val="left"/>
      <w:lvlText w:val="(%1)"/>
      <w:numFmt w:val="lowerRoman"/>
      <w:start w:val="1"/>
    </w:lvl>
  </w:abstractNum>
  <w:abstractNum w:abstractNumId="260">
    <w:nsid w:val="3B3EBE15"/>
    <w:multiLevelType w:val="hybridMultilevel"/>
    <w:lvl w:ilvl="0">
      <w:lvlJc w:val="left"/>
      <w:lvlText w:val="(%1)"/>
      <w:numFmt w:val="upperLetter"/>
      <w:start w:val="1"/>
    </w:lvl>
  </w:abstractNum>
  <w:abstractNum w:abstractNumId="261">
    <w:nsid w:val="3822CB01"/>
    <w:multiLevelType w:val="hybridMultilevel"/>
    <w:lvl w:ilvl="0">
      <w:lvlJc w:val="left"/>
      <w:lvlText w:val="(%1)"/>
      <w:numFmt w:val="upperLetter"/>
      <w:start w:val="3"/>
    </w:lvl>
  </w:abstractNum>
  <w:abstractNum w:abstractNumId="262">
    <w:nsid w:val="6CE00443"/>
    <w:multiLevelType w:val="hybridMultilevel"/>
    <w:lvl w:ilvl="0">
      <w:lvlJc w:val="left"/>
      <w:lvlText w:val="(%1)"/>
      <w:numFmt w:val="lowerLetter"/>
      <w:start w:val="1"/>
    </w:lvl>
  </w:abstractNum>
  <w:abstractNum w:abstractNumId="263">
    <w:nsid w:val="79F0D62F"/>
    <w:multiLevelType w:val="hybridMultilevel"/>
    <w:lvl w:ilvl="0">
      <w:lvlJc w:val="left"/>
      <w:lvlText w:val="%1."/>
      <w:numFmt w:val="decimal"/>
      <w:start w:val="1"/>
    </w:lvl>
  </w:abstractNum>
  <w:abstractNum w:abstractNumId="264">
    <w:nsid w:val="7975E8EE"/>
    <w:multiLevelType w:val="hybridMultilevel"/>
    <w:lvl w:ilvl="0">
      <w:lvlJc w:val="left"/>
      <w:lvlText w:val="(%1)"/>
      <w:numFmt w:val="lowerLetter"/>
      <w:start w:val="1"/>
    </w:lvl>
  </w:abstractNum>
  <w:abstractNum w:abstractNumId="265">
    <w:nsid w:val="73154115"/>
    <w:multiLevelType w:val="hybridMultilevel"/>
    <w:lvl w:ilvl="0">
      <w:lvlJc w:val="left"/>
      <w:lvlText w:val="%1."/>
      <w:numFmt w:val="decimal"/>
      <w:start w:val="2"/>
    </w:lvl>
  </w:abstractNum>
  <w:abstractNum w:abstractNumId="266">
    <w:nsid w:val="622D8102"/>
    <w:multiLevelType w:val="hybridMultilevel"/>
    <w:lvl w:ilvl="0">
      <w:lvlJc w:val="left"/>
      <w:lvlText w:val="(%1)"/>
      <w:numFmt w:val="lowerLetter"/>
      <w:start w:val="1"/>
    </w:lvl>
  </w:abstractNum>
  <w:abstractNum w:abstractNumId="267">
    <w:nsid w:val="2AB26587"/>
    <w:multiLevelType w:val="hybridMultilevel"/>
    <w:lvl w:ilvl="0">
      <w:lvlJc w:val="left"/>
      <w:lvlText w:val="(%1)"/>
      <w:numFmt w:val="lowerRoman"/>
      <w:start w:val="1"/>
    </w:lvl>
  </w:abstractNum>
  <w:abstractNum w:abstractNumId="268">
    <w:nsid w:val="44B3FA61"/>
    <w:multiLevelType w:val="hybridMultilevel"/>
    <w:lvl w:ilvl="0">
      <w:lvlJc w:val="left"/>
      <w:lvlText w:val="(%1)"/>
      <w:numFmt w:val="lowerRoman"/>
      <w:start w:val="2"/>
    </w:lvl>
  </w:abstractNum>
  <w:abstractNum w:abstractNumId="269">
    <w:nsid w:val="1C0CA67C"/>
    <w:multiLevelType w:val="hybridMultilevel"/>
    <w:lvl w:ilvl="0">
      <w:lvlJc w:val="left"/>
      <w:lvlText w:val="%1"/>
      <w:numFmt w:val="upperLetter"/>
      <w:start w:val="1"/>
    </w:lvl>
    <w:lvl w:ilvl="1">
      <w:lvlJc w:val="left"/>
      <w:lvlText w:val="(%2)"/>
      <w:numFmt w:val="lowerLetter"/>
      <w:start w:val="1"/>
    </w:lvl>
  </w:abstractNum>
  <w:abstractNum w:abstractNumId="270">
    <w:nsid w:val="3D206613"/>
    <w:multiLevelType w:val="hybridMultilevel"/>
    <w:lvl w:ilvl="0">
      <w:lvlJc w:val="left"/>
      <w:lvlText w:val="(%1)"/>
      <w:numFmt w:val="upperLetter"/>
      <w:start w:val="3"/>
    </w:lvl>
    <w:lvl w:ilvl="1">
      <w:lvlJc w:val="left"/>
      <w:lvlText w:val="(%2)"/>
      <w:numFmt w:val="lowerLetter"/>
      <w:start w:val="3"/>
    </w:lvl>
  </w:abstractNum>
  <w:abstractNum w:abstractNumId="271">
    <w:nsid w:val="7993B662"/>
    <w:multiLevelType w:val="hybridMultilevel"/>
    <w:lvl w:ilvl="0">
      <w:lvlJc w:val="left"/>
      <w:lvlText w:val="%1"/>
      <w:numFmt w:val="lowerLetter"/>
      <w:start w:val="1"/>
    </w:lvl>
    <w:lvl w:ilvl="1">
      <w:lvlJc w:val="left"/>
      <w:lvlText w:val="(%2)"/>
      <w:numFmt w:val="lowerLetter"/>
      <w:start w:val="8"/>
    </w:lvl>
  </w:abstractNum>
  <w:abstractNum w:abstractNumId="272">
    <w:nsid w:val="3BAB699E"/>
    <w:multiLevelType w:val="hybridMultilevel"/>
    <w:lvl w:ilvl="0">
      <w:lvlJc w:val="left"/>
      <w:lvlText w:val="(%1)"/>
      <w:numFmt w:val="lowerLetter"/>
      <w:start w:val="25"/>
    </w:lvl>
    <w:lvl w:ilvl="1">
      <w:lvlJc w:val="left"/>
      <w:lvlText w:val="(%2)"/>
      <w:numFmt w:val="lowerLetter"/>
      <w:start w:val="10"/>
    </w:lvl>
  </w:abstractNum>
  <w:abstractNum w:abstractNumId="273">
    <w:nsid w:val="71315369"/>
    <w:multiLevelType w:val="hybridMultilevel"/>
    <w:lvl w:ilvl="0">
      <w:lvlJc w:val="left"/>
      <w:lvlText w:val="(%1)"/>
      <w:numFmt w:val="lowerLetter"/>
      <w:start w:val="13"/>
    </w:lvl>
  </w:abstractNum>
  <w:abstractNum w:abstractNumId="274">
    <w:nsid w:val="7BCFBAFC"/>
    <w:multiLevelType w:val="hybridMultilevel"/>
    <w:lvl w:ilvl="0">
      <w:lvlJc w:val="left"/>
      <w:lvlText w:val="(%1)"/>
      <w:numFmt w:val="lowerLetter"/>
      <w:start w:val="22"/>
    </w:lvl>
  </w:abstractNum>
  <w:abstractNum w:abstractNumId="275">
    <w:nsid w:val="17859F72"/>
    <w:multiLevelType w:val="hybridMultilevel"/>
    <w:lvl w:ilvl="0">
      <w:lvlJc w:val="left"/>
      <w:lvlText w:val="(%1)"/>
      <w:numFmt w:val="lowerLetter"/>
      <w:start w:val="27"/>
    </w:lvl>
  </w:abstractNum>
  <w:abstractNum w:abstractNumId="276">
    <w:nsid w:val="3AA10581"/>
    <w:multiLevelType w:val="hybridMultilevel"/>
    <w:lvl w:ilvl="0">
      <w:lvlJc w:val="left"/>
      <w:lvlText w:val="%1."/>
      <w:numFmt w:val="decimal"/>
      <w:start w:val="2"/>
    </w:lvl>
  </w:abstractNum>
  <w:abstractNum w:abstractNumId="277">
    <w:nsid w:val="63DE60CD"/>
    <w:multiLevelType w:val="hybridMultilevel"/>
    <w:lvl w:ilvl="0">
      <w:lvlJc w:val="left"/>
      <w:lvlText w:val="(%1)"/>
      <w:numFmt w:val="lowerLetter"/>
      <w:start w:val="30"/>
    </w:lvl>
  </w:abstractNum>
  <w:abstractNum w:abstractNumId="278">
    <w:nsid w:val="621AF471"/>
    <w:multiLevelType w:val="hybridMultilevel"/>
    <w:lvl w:ilvl="0">
      <w:lvlJc w:val="left"/>
      <w:lvlText w:val="(%1)"/>
      <w:numFmt w:val="lowerLetter"/>
      <w:start w:val="31"/>
    </w:lvl>
  </w:abstractNum>
  <w:abstractNum w:abstractNumId="279">
    <w:nsid w:val="73CFE165"/>
    <w:multiLevelType w:val="hybridMultilevel"/>
    <w:lvl w:ilvl="0">
      <w:lvlJc w:val="left"/>
      <w:lvlText w:val="(%1)"/>
      <w:numFmt w:val="lowerLetter"/>
      <w:start w:val="38"/>
    </w:lvl>
  </w:abstractNum>
  <w:abstractNum w:abstractNumId="280">
    <w:nsid w:val="20F88EA6"/>
    <w:multiLevelType w:val="hybridMultilevel"/>
    <w:lvl w:ilvl="0">
      <w:lvlJc w:val="left"/>
      <w:lvlText w:val="(%1)"/>
      <w:numFmt w:val="lowerLetter"/>
      <w:start w:val="49"/>
    </w:lvl>
  </w:abstractNum>
  <w:abstractNum w:abstractNumId="281">
    <w:nsid w:val="617C843E"/>
    <w:multiLevelType w:val="hybridMultilevel"/>
    <w:lvl w:ilvl="0">
      <w:lvlJc w:val="left"/>
      <w:lvlText w:val="%1."/>
      <w:numFmt w:val="decimal"/>
      <w:start w:val="3"/>
    </w:lvl>
  </w:abstractNum>
  <w:abstractNum w:abstractNumId="282">
    <w:nsid w:val="7B541FAB"/>
    <w:multiLevelType w:val="hybridMultilevel"/>
    <w:lvl w:ilvl="0">
      <w:lvlJc w:val="left"/>
      <w:lvlText w:val="(%1)"/>
      <w:numFmt w:val="lowerLetter"/>
      <w:start w:val="51"/>
    </w:lvl>
  </w:abstractNum>
  <w:abstractNum w:abstractNumId="283">
    <w:nsid w:val="2A79EC49"/>
    <w:multiLevelType w:val="hybridMultilevel"/>
    <w:lvl w:ilvl="0">
      <w:lvlJc w:val="left"/>
      <w:lvlText w:val="(%1)"/>
      <w:numFmt w:val="lowerLetter"/>
      <w:start w:val="53"/>
    </w:lvl>
  </w:abstractNum>
  <w:abstractNum w:abstractNumId="284">
    <w:nsid w:val="338125CF"/>
    <w:multiLevelType w:val="hybridMultilevel"/>
    <w:lvl w:ilvl="0">
      <w:lvlJc w:val="left"/>
      <w:lvlText w:val="%1"/>
      <w:numFmt w:val="lowerLetter"/>
      <w:start w:val="1"/>
    </w:lvl>
    <w:lvl w:ilvl="1">
      <w:lvlJc w:val="left"/>
      <w:lvlText w:val="(%2)"/>
      <w:numFmt w:val="lowerLetter"/>
      <w:start w:val="54"/>
    </w:lvl>
  </w:abstractNum>
  <w:abstractNum w:abstractNumId="285">
    <w:nsid w:val="47C7C971"/>
    <w:multiLevelType w:val="hybridMultilevel"/>
    <w:lvl w:ilvl="0">
      <w:lvlJc w:val="left"/>
      <w:lvlText w:val="(%1)"/>
      <w:numFmt w:val="lowerLetter"/>
      <w:start w:val="26"/>
    </w:lvl>
    <w:lvl w:ilvl="1">
      <w:lvlJc w:val="left"/>
      <w:lvlText w:val="%2"/>
      <w:numFmt w:val="lowerLetter"/>
      <w:start w:val="1"/>
    </w:lvl>
  </w:abstractNum>
  <w:abstractNum w:abstractNumId="286">
    <w:nsid w:val="46F8284B"/>
    <w:multiLevelType w:val="hybridMultilevel"/>
    <w:lvl w:ilvl="0">
      <w:lvlJc w:val="left"/>
      <w:lvlText w:val="(%1)"/>
      <w:numFmt w:val="lowerLetter"/>
      <w:start w:val="59"/>
    </w:lvl>
    <w:lvl w:ilvl="1">
      <w:lvlJc w:val="left"/>
      <w:lvlText w:val="(%2)"/>
      <w:numFmt w:val="lowerRoman"/>
      <w:start w:val="1"/>
    </w:lvl>
  </w:abstractNum>
  <w:abstractNum w:abstractNumId="287">
    <w:nsid w:val="4FA327CE"/>
    <w:multiLevelType w:val="hybridMultilevel"/>
    <w:lvl w:ilvl="0">
      <w:lvlJc w:val="left"/>
      <w:lvlText w:val="(%1)"/>
      <w:numFmt w:val="lowerRoman"/>
      <w:start w:val="4"/>
    </w:lvl>
  </w:abstractNum>
  <w:abstractNum w:abstractNumId="288">
    <w:nsid w:val="1873983A"/>
    <w:multiLevelType w:val="hybridMultilevel"/>
    <w:lvl w:ilvl="0">
      <w:lvlJc w:val="left"/>
      <w:lvlText w:val="%1"/>
      <w:numFmt w:val="upperLetter"/>
      <w:start w:val="1"/>
    </w:lvl>
    <w:lvl w:ilvl="1">
      <w:lvlJc w:val="left"/>
      <w:lvlText w:val="(%2)"/>
      <w:numFmt w:val="lowerLetter"/>
      <w:start w:val="61"/>
    </w:lvl>
    <w:lvl w:ilvl="2">
      <w:lvlJc w:val="left"/>
      <w:lvlText w:val="%3"/>
      <w:numFmt w:val="lowerRoman"/>
      <w:start w:val="1"/>
    </w:lvl>
  </w:abstractNum>
  <w:abstractNum w:abstractNumId="289">
    <w:nsid w:val="3D2DD275"/>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290">
    <w:nsid w:val="2E17ECA7"/>
    <w:multiLevelType w:val="hybridMultilevel"/>
    <w:lvl w:ilvl="0">
      <w:lvlJc w:val="left"/>
      <w:lvlText w:val="(%1)"/>
      <w:numFmt w:val="upperLetter"/>
      <w:start w:val="5"/>
    </w:lvl>
    <w:lvl w:ilvl="1">
      <w:lvlJc w:val="left"/>
      <w:lvlText w:val="(%2)"/>
      <w:numFmt w:val="lowerLetter"/>
      <w:start w:val="62"/>
    </w:lvl>
    <w:lvl w:ilvl="2">
      <w:lvlJc w:val="left"/>
      <w:lvlText w:val="(%3)"/>
      <w:numFmt w:val="lowerRoman"/>
      <w:start w:val="2"/>
    </w:lvl>
  </w:abstractNum>
  <w:abstractNum w:abstractNumId="291">
    <w:nsid w:val="53B2564F"/>
    <w:multiLevelType w:val="hybridMultilevel"/>
    <w:lvl w:ilvl="0">
      <w:lvlJc w:val="left"/>
      <w:lvlText w:val="(%1)"/>
      <w:numFmt w:val="lowerLetter"/>
      <w:start w:val="35"/>
    </w:lvl>
    <w:lvl w:ilvl="1">
      <w:lvlJc w:val="left"/>
      <w:lvlText w:val="(%2)"/>
      <w:numFmt w:val="lowerLetter"/>
      <w:start w:val="64"/>
    </w:lvl>
  </w:abstractNum>
  <w:abstractNum w:abstractNumId="292">
    <w:nsid w:val="75509D76"/>
    <w:multiLevelType w:val="hybridMultilevel"/>
    <w:lvl w:ilvl="0">
      <w:lvlJc w:val="left"/>
      <w:lvlText w:val="(%1)"/>
      <w:numFmt w:val="lowerLetter"/>
      <w:start w:val="68"/>
    </w:lvl>
    <w:lvl w:ilvl="1">
      <w:lvlJc w:val="left"/>
      <w:lvlText w:val="(%2)"/>
      <w:numFmt w:val="lowerRoman"/>
      <w:start w:val="1"/>
    </w:lvl>
    <w:lvl w:ilvl="2">
      <w:lvlJc w:val="left"/>
      <w:lvlText w:val="(%3)"/>
      <w:numFmt w:val="lowerLetter"/>
      <w:start w:val="9"/>
    </w:lvl>
  </w:abstractNum>
  <w:abstractNum w:abstractNumId="293">
    <w:nsid w:val="1AF7F0EA"/>
    <w:multiLevelType w:val="hybridMultilevel"/>
    <w:lvl w:ilvl="0">
      <w:lvlJc w:val="left"/>
      <w:lvlText w:val="%1."/>
      <w:numFmt w:val="decimal"/>
      <w:start w:val="2"/>
    </w:lvl>
  </w:abstractNum>
  <w:abstractNum w:abstractNumId="294">
    <w:nsid w:val="4DA32C7E"/>
    <w:multiLevelType w:val="hybridMultilevel"/>
    <w:lvl w:ilvl="0">
      <w:lvlJc w:val="left"/>
      <w:lvlText w:val="(%1)"/>
      <w:numFmt w:val="lowerLetter"/>
      <w:start w:val="72"/>
    </w:lvl>
  </w:abstractNum>
  <w:abstractNum w:abstractNumId="295">
    <w:nsid w:val="6EC68664"/>
    <w:multiLevelType w:val="hybridMultilevel"/>
    <w:lvl w:ilvl="0">
      <w:lvlJc w:val="left"/>
      <w:lvlText w:val="%1"/>
      <w:numFmt w:val="lowerLetter"/>
      <w:start w:val="1"/>
    </w:lvl>
    <w:lvl w:ilvl="1">
      <w:lvlJc w:val="left"/>
      <w:lvlText w:val="(%2)"/>
      <w:numFmt w:val="lowerLetter"/>
      <w:start w:val="77"/>
    </w:lvl>
  </w:abstractNum>
  <w:abstractNum w:abstractNumId="296">
    <w:nsid w:val="E0D31FF"/>
    <w:multiLevelType w:val="hybridMultilevel"/>
    <w:lvl w:ilvl="0">
      <w:lvlJc w:val="left"/>
      <w:lvlText w:val="(%1)"/>
      <w:numFmt w:val="lowerLetter"/>
      <w:start w:val="25"/>
    </w:lvl>
    <w:lvl w:ilvl="1">
      <w:lvlJc w:val="left"/>
      <w:lvlText w:val="(%2)"/>
      <w:numFmt w:val="lowerLetter"/>
      <w:start w:val="78"/>
    </w:lvl>
  </w:abstractNum>
  <w:abstractNum w:abstractNumId="297">
    <w:nsid w:val="2FD0AD81"/>
    <w:multiLevelType w:val="hybridMultilevel"/>
    <w:lvl w:ilvl="0">
      <w:lvlJc w:val="left"/>
      <w:lvlText w:val="%1"/>
      <w:numFmt w:val="lowerLetter"/>
      <w:start w:val="1"/>
    </w:lvl>
    <w:lvl w:ilvl="1">
      <w:lvlJc w:val="left"/>
      <w:lvlText w:val="(%2)"/>
      <w:numFmt w:val="lowerLetter"/>
      <w:start w:val="79"/>
    </w:lvl>
  </w:abstractNum>
  <w:abstractNum w:abstractNumId="298">
    <w:nsid w:val="1978EBEB"/>
    <w:multiLevelType w:val="hybridMultilevel"/>
    <w:lvl w:ilvl="0">
      <w:lvlJc w:val="left"/>
      <w:lvlText w:val="(%1)"/>
      <w:numFmt w:val="lowerLetter"/>
      <w:start w:val="24"/>
    </w:lvl>
    <w:lvl w:ilvl="1">
      <w:lvlJc w:val="left"/>
      <w:lvlText w:val="%2"/>
      <w:numFmt w:val="lowerLetter"/>
      <w:start w:val="1"/>
    </w:lvl>
  </w:abstractNum>
  <w:abstractNum w:abstractNumId="299">
    <w:nsid w:val="52C12C61"/>
    <w:multiLevelType w:val="hybridMultilevel"/>
    <w:lvl w:ilvl="0">
      <w:lvlJc w:val="left"/>
      <w:lvlText w:val="(%1)"/>
      <w:numFmt w:val="lowerLetter"/>
      <w:start w:val="80"/>
    </w:lvl>
    <w:lvl w:ilvl="1">
      <w:lvlJc w:val="left"/>
      <w:lvlText w:val="(%2)"/>
      <w:numFmt w:val="lowerRoman"/>
      <w:start w:val="1"/>
    </w:lvl>
  </w:abstractNum>
  <w:abstractNum w:abstractNumId="300">
    <w:nsid w:val="4BDD53FD"/>
    <w:multiLevelType w:val="hybridMultilevel"/>
    <w:lvl w:ilvl="0">
      <w:lvlJc w:val="left"/>
      <w:lvlText w:val="(%1)"/>
      <w:numFmt w:val="lowerRoman"/>
      <w:start w:val="6"/>
    </w:lvl>
  </w:abstractNum>
  <w:abstractNum w:abstractNumId="301">
    <w:nsid w:val="569951FE"/>
    <w:multiLevelType w:val="hybridMultilevel"/>
    <w:lvl w:ilvl="0">
      <w:lvlJc w:val="left"/>
      <w:lvlText w:val="(%1)"/>
      <w:numFmt w:val="lowerRoman"/>
      <w:start w:val="13"/>
    </w:lvl>
  </w:abstractNum>
  <w:abstractNum w:abstractNumId="302">
    <w:nsid w:val="4C54E2C3"/>
    <w:multiLevelType w:val="hybridMultilevel"/>
    <w:lvl w:ilvl="0">
      <w:lvlJc w:val="left"/>
      <w:lvlText w:val="(%1)"/>
      <w:numFmt w:val="lowerLetter"/>
      <w:start w:val="81"/>
    </w:lvl>
    <w:lvl w:ilvl="1">
      <w:lvlJc w:val="left"/>
      <w:lvlText w:val="(%2)"/>
      <w:numFmt w:val="lowerRoman"/>
      <w:start w:val="1"/>
    </w:lvl>
  </w:abstractNum>
  <w:abstractNum w:abstractNumId="303">
    <w:nsid w:val="788BD9B"/>
    <w:multiLevelType w:val="hybridMultilevel"/>
    <w:lvl w:ilvl="0">
      <w:lvlJc w:val="left"/>
      <w:lvlText w:val="(%1)"/>
      <w:numFmt w:val="lowerLetter"/>
      <w:start w:val="11"/>
    </w:lvl>
  </w:abstractNum>
  <w:abstractNum w:abstractNumId="304">
    <w:nsid w:val="47CAA567"/>
    <w:multiLevelType w:val="hybridMultilevel"/>
    <w:lvl w:ilvl="0">
      <w:lvlJc w:val="left"/>
      <w:lvlText w:val="%1."/>
      <w:numFmt w:val="decimal"/>
      <w:start w:val="3"/>
    </w:lvl>
  </w:abstractNum>
  <w:abstractNum w:abstractNumId="305">
    <w:nsid w:val="48249DBF"/>
    <w:multiLevelType w:val="hybridMultilevel"/>
    <w:lvl w:ilvl="0">
      <w:lvlJc w:val="left"/>
      <w:lvlText w:val="(%1)"/>
      <w:numFmt w:val="lowerLetter"/>
      <w:start w:val="1"/>
    </w:lvl>
  </w:abstractNum>
  <w:abstractNum w:abstractNumId="306">
    <w:nsid w:val="1F0E5D0D"/>
    <w:multiLevelType w:val="hybridMultilevel"/>
    <w:lvl w:ilvl="0">
      <w:lvlJc w:val="left"/>
      <w:lvlText w:val="(%1)"/>
      <w:numFmt w:val="lowerLetter"/>
      <w:start w:val="7"/>
    </w:lvl>
  </w:abstractNum>
  <w:abstractNum w:abstractNumId="307">
    <w:nsid w:val="26BAAE9"/>
    <w:multiLevelType w:val="hybridMultilevel"/>
    <w:lvl w:ilvl="0">
      <w:lvlJc w:val="left"/>
      <w:lvlText w:val="(%1)"/>
      <w:numFmt w:val="lowerLetter"/>
      <w:start w:val="83"/>
    </w:lvl>
  </w:abstractNum>
  <w:abstractNum w:abstractNumId="308">
    <w:nsid w:val="2C02FE8C"/>
    <w:multiLevelType w:val="hybridMultilevel"/>
    <w:lvl w:ilvl="0">
      <w:lvlJc w:val="left"/>
      <w:lvlText w:val="(%1)"/>
      <w:numFmt w:val="lowerLetter"/>
      <w:start w:val="89"/>
    </w:lvl>
  </w:abstractNum>
  <w:abstractNum w:abstractNumId="309">
    <w:nsid w:val="129517E"/>
    <w:multiLevelType w:val="hybridMultilevel"/>
    <w:lvl w:ilvl="0">
      <w:lvlJc w:val="left"/>
      <w:lvlText w:val="(%1)"/>
      <w:numFmt w:val="lowerLetter"/>
      <w:start w:val="2"/>
    </w:lvl>
    <w:lvl w:ilvl="1">
      <w:lvlJc w:val="left"/>
      <w:lvlText w:val="(%2)"/>
      <w:numFmt w:val="lowerLetter"/>
      <w:start w:val="92"/>
    </w:lvl>
  </w:abstractNum>
  <w:abstractNum w:abstractNumId="310">
    <w:nsid w:val="763B8C4E"/>
    <w:multiLevelType w:val="hybridMultilevel"/>
    <w:lvl w:ilvl="0">
      <w:lvlJc w:val="left"/>
      <w:lvlText w:val="(%1)"/>
      <w:numFmt w:val="lowerLetter"/>
      <w:start w:val="94"/>
    </w:lvl>
  </w:abstractNum>
  <w:abstractNum w:abstractNumId="311">
    <w:nsid w:val="4CFB8D32"/>
    <w:multiLevelType w:val="hybridMultilevel"/>
    <w:lvl w:ilvl="0">
      <w:lvlJc w:val="left"/>
      <w:lvlText w:val="%1"/>
      <w:numFmt w:val="lowerLetter"/>
      <w:start w:val="1"/>
    </w:lvl>
    <w:lvl w:ilvl="1">
      <w:lvlJc w:val="left"/>
      <w:lvlText w:val="(%2)"/>
      <w:numFmt w:val="lowerLetter"/>
      <w:start w:val="96"/>
    </w:lvl>
  </w:abstractNum>
  <w:abstractNum w:abstractNumId="312">
    <w:nsid w:val="62A5D5BD"/>
    <w:multiLevelType w:val="hybridMultilevel"/>
    <w:lvl w:ilvl="0">
      <w:lvlJc w:val="left"/>
      <w:lvlText w:val="(%1)"/>
      <w:numFmt w:val="lowerLetter"/>
      <w:start w:val="15"/>
    </w:lvl>
    <w:lvl w:ilvl="1">
      <w:lvlJc w:val="left"/>
      <w:lvlText w:val="%2"/>
      <w:numFmt w:val="lowerLetter"/>
      <w:start w:val="1"/>
    </w:lvl>
  </w:abstractNum>
  <w:abstractNum w:abstractNumId="313">
    <w:nsid w:val="718FABF9"/>
    <w:multiLevelType w:val="hybridMultilevel"/>
    <w:lvl w:ilvl="0">
      <w:lvlJc w:val="left"/>
      <w:lvlText w:val="%1"/>
      <w:numFmt w:val="decimal"/>
      <w:start w:val="425"/>
    </w:lvl>
  </w:abstractNum>
  <w:abstractNum w:abstractNumId="314">
    <w:nsid w:val="7775797C"/>
    <w:multiLevelType w:val="hybridMultilevel"/>
    <w:lvl w:ilvl="0">
      <w:lvlJc w:val="left"/>
      <w:lvlText w:val="(%1)"/>
      <w:numFmt w:val="lowerRoman"/>
      <w:start w:val="1"/>
    </w:lvl>
  </w:abstractNum>
  <w:abstractNum w:abstractNumId="315">
    <w:nsid w:val="1626FB8C"/>
    <w:multiLevelType w:val="hybridMultilevel"/>
    <w:lvl w:ilvl="0">
      <w:lvlJc w:val="left"/>
      <w:lvlText w:val="(%1)"/>
      <w:numFmt w:val="lowerRoman"/>
      <w:start w:val="1"/>
    </w:lvl>
  </w:abstractNum>
  <w:abstractNum w:abstractNumId="316">
    <w:nsid w:val="3957756A"/>
    <w:multiLevelType w:val="hybridMultilevel"/>
    <w:lvl w:ilvl="0">
      <w:lvlJc w:val="left"/>
      <w:lvlText w:val="(%1)"/>
      <w:numFmt w:val="lowerRoman"/>
      <w:start w:val="1"/>
    </w:lvl>
  </w:abstractNum>
  <w:abstractNum w:abstractNumId="317">
    <w:nsid w:val="3E6DA1C7"/>
    <w:multiLevelType w:val="hybridMultilevel"/>
    <w:lvl w:ilvl="0">
      <w:lvlJc w:val="left"/>
      <w:lvlText w:val="1"/>
      <w:numFmt w:val="bullet"/>
      <w:start w:val="1"/>
    </w:lvl>
  </w:abstractNum>
  <w:abstractNum w:abstractNumId="318">
    <w:nsid w:val="65CA235B"/>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2024-03-08T16:31:32Z</dcterms:created>
  <dcterms:modified xsi:type="dcterms:W3CDTF">2024-03-08T16:31:32Z</dcterms:modified>
</cp:coreProperties>
</file>