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362585</wp:posOffset>
            </wp:positionH>
            <wp:positionV relativeFrom="page">
              <wp:posOffset>740410</wp:posOffset>
            </wp:positionV>
            <wp:extent cx="68237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page">
              <wp:posOffset>362585</wp:posOffset>
            </wp:positionH>
            <wp:positionV relativeFrom="page">
              <wp:posOffset>766445</wp:posOffset>
            </wp:positionV>
            <wp:extent cx="68237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2371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29, 2020</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WESCO International,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8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jc w:val="center"/>
              <w:ind w:left="858"/>
              <w:spacing w:after="0"/>
              <w:rPr>
                <w:sz w:val="20"/>
                <w:szCs w:val="20"/>
                <w:color w:val="auto"/>
              </w:rPr>
            </w:pPr>
            <w:r>
              <w:rPr>
                <w:rFonts w:ascii="Arial" w:cs="Arial" w:eastAsia="Arial" w:hAnsi="Arial"/>
                <w:sz w:val="16"/>
                <w:szCs w:val="16"/>
                <w:b w:val="1"/>
                <w:bCs w:val="1"/>
                <w:color w:val="auto"/>
                <w:w w:val="91"/>
              </w:rPr>
              <w:t>Delaware</w:t>
            </w:r>
          </w:p>
        </w:tc>
        <w:tc>
          <w:tcPr>
            <w:tcW w:w="2780" w:type="dxa"/>
            <w:vAlign w:val="bottom"/>
            <w:gridSpan w:val="3"/>
          </w:tcPr>
          <w:p>
            <w:pPr>
              <w:jc w:val="right"/>
              <w:ind w:right="297"/>
              <w:spacing w:after="0"/>
              <w:rPr>
                <w:sz w:val="20"/>
                <w:szCs w:val="20"/>
                <w:color w:val="auto"/>
              </w:rPr>
            </w:pPr>
            <w:r>
              <w:rPr>
                <w:rFonts w:ascii="Arial" w:cs="Arial" w:eastAsia="Arial" w:hAnsi="Arial"/>
                <w:sz w:val="18"/>
                <w:szCs w:val="18"/>
                <w:b w:val="1"/>
                <w:bCs w:val="1"/>
                <w:color w:val="auto"/>
              </w:rPr>
              <w:t>001-14989</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720" w:type="dxa"/>
            <w:vAlign w:val="bottom"/>
          </w:tcPr>
          <w:p>
            <w:pPr>
              <w:jc w:val="right"/>
              <w:ind w:right="1699"/>
              <w:spacing w:after="0"/>
              <w:rPr>
                <w:sz w:val="20"/>
                <w:szCs w:val="20"/>
                <w:color w:val="auto"/>
              </w:rPr>
            </w:pPr>
            <w:r>
              <w:rPr>
                <w:rFonts w:ascii="Arial" w:cs="Arial" w:eastAsia="Arial" w:hAnsi="Arial"/>
                <w:sz w:val="16"/>
                <w:szCs w:val="16"/>
                <w:b w:val="1"/>
                <w:bCs w:val="1"/>
                <w:color w:val="auto"/>
              </w:rPr>
              <w:t>25-1723342</w:t>
            </w:r>
          </w:p>
        </w:tc>
      </w:tr>
      <w:tr>
        <w:trPr>
          <w:trHeight w:val="247"/>
        </w:trPr>
        <w:tc>
          <w:tcPr>
            <w:tcW w:w="3620" w:type="dxa"/>
            <w:vAlign w:val="bottom"/>
          </w:tcPr>
          <w:p>
            <w:pPr>
              <w:jc w:val="center"/>
              <w:ind w:left="858"/>
              <w:spacing w:after="0"/>
              <w:rPr>
                <w:sz w:val="20"/>
                <w:szCs w:val="20"/>
                <w:color w:val="auto"/>
              </w:rPr>
            </w:pPr>
            <w:r>
              <w:rPr>
                <w:rFonts w:ascii="Arial" w:cs="Arial" w:eastAsia="Arial" w:hAnsi="Arial"/>
                <w:sz w:val="16"/>
                <w:szCs w:val="16"/>
                <w:color w:val="auto"/>
                <w:w w:val="93"/>
              </w:rPr>
              <w:t>(State or other jurisdiction of</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40" w:type="dxa"/>
            <w:vAlign w:val="bottom"/>
            <w:gridSpan w:val="3"/>
          </w:tcPr>
          <w:p>
            <w:pPr>
              <w:jc w:val="center"/>
              <w:ind w:right="860"/>
              <w:spacing w:after="0"/>
              <w:rPr>
                <w:sz w:val="20"/>
                <w:szCs w:val="20"/>
                <w:color w:val="auto"/>
              </w:rPr>
            </w:pPr>
            <w:r>
              <w:rPr>
                <w:rFonts w:ascii="Arial" w:cs="Arial" w:eastAsia="Arial" w:hAnsi="Arial"/>
                <w:sz w:val="16"/>
                <w:szCs w:val="16"/>
                <w:color w:val="auto"/>
                <w:w w:val="94"/>
              </w:rPr>
              <w:t>(Commission File Number)</w:t>
            </w:r>
          </w:p>
        </w:tc>
        <w:tc>
          <w:tcPr>
            <w:tcW w:w="3720" w:type="dxa"/>
            <w:vAlign w:val="bottom"/>
          </w:tcPr>
          <w:p>
            <w:pPr>
              <w:jc w:val="center"/>
              <w:ind w:right="539"/>
              <w:spacing w:after="0"/>
              <w:rPr>
                <w:sz w:val="20"/>
                <w:szCs w:val="20"/>
                <w:color w:val="auto"/>
              </w:rPr>
            </w:pPr>
            <w:r>
              <w:rPr>
                <w:rFonts w:ascii="Arial" w:cs="Arial" w:eastAsia="Arial" w:hAnsi="Arial"/>
                <w:sz w:val="16"/>
                <w:szCs w:val="16"/>
                <w:color w:val="auto"/>
                <w:w w:val="94"/>
              </w:rPr>
              <w:t>(IRS Employer</w:t>
            </w:r>
          </w:p>
        </w:tc>
      </w:tr>
      <w:tr>
        <w:trPr>
          <w:trHeight w:val="206"/>
        </w:trPr>
        <w:tc>
          <w:tcPr>
            <w:tcW w:w="3620" w:type="dxa"/>
            <w:vAlign w:val="bottom"/>
          </w:tcPr>
          <w:p>
            <w:pPr>
              <w:jc w:val="center"/>
              <w:ind w:left="858"/>
              <w:spacing w:after="0"/>
              <w:rPr>
                <w:sz w:val="20"/>
                <w:szCs w:val="20"/>
                <w:color w:val="auto"/>
              </w:rPr>
            </w:pPr>
            <w:r>
              <w:rPr>
                <w:rFonts w:ascii="Arial" w:cs="Arial" w:eastAsia="Arial" w:hAnsi="Arial"/>
                <w:sz w:val="16"/>
                <w:szCs w:val="16"/>
                <w:color w:val="auto"/>
                <w:w w:val="94"/>
              </w:rPr>
              <w:t>incorporation)</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720" w:type="dxa"/>
            <w:vAlign w:val="bottom"/>
          </w:tcPr>
          <w:p>
            <w:pPr>
              <w:jc w:val="center"/>
              <w:ind w:right="559"/>
              <w:spacing w:after="0"/>
              <w:rPr>
                <w:sz w:val="20"/>
                <w:szCs w:val="20"/>
                <w:color w:val="auto"/>
              </w:rPr>
            </w:pPr>
            <w:r>
              <w:rPr>
                <w:rFonts w:ascii="Arial" w:cs="Arial" w:eastAsia="Arial" w:hAnsi="Arial"/>
                <w:sz w:val="16"/>
                <w:szCs w:val="16"/>
                <w:color w:val="auto"/>
                <w:w w:val="96"/>
              </w:rPr>
              <w:t>Identification No.)</w:t>
            </w:r>
          </w:p>
        </w:tc>
      </w:tr>
      <w:tr>
        <w:trPr>
          <w:trHeight w:val="303"/>
        </w:trPr>
        <w:tc>
          <w:tcPr>
            <w:tcW w:w="3620" w:type="dxa"/>
            <w:vAlign w:val="bottom"/>
          </w:tcPr>
          <w:p>
            <w:pPr>
              <w:jc w:val="center"/>
              <w:ind w:left="858"/>
              <w:spacing w:after="0"/>
              <w:rPr>
                <w:sz w:val="20"/>
                <w:szCs w:val="20"/>
                <w:color w:val="auto"/>
              </w:rPr>
            </w:pPr>
            <w:r>
              <w:rPr>
                <w:rFonts w:ascii="Arial" w:cs="Arial" w:eastAsia="Arial" w:hAnsi="Arial"/>
                <w:sz w:val="16"/>
                <w:szCs w:val="16"/>
                <w:b w:val="1"/>
                <w:bCs w:val="1"/>
                <w:color w:val="auto"/>
                <w:w w:val="91"/>
              </w:rPr>
              <w:t>225 West Station Square Drive</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10"/>
        </w:trPr>
        <w:tc>
          <w:tcPr>
            <w:tcW w:w="3620" w:type="dxa"/>
            <w:vAlign w:val="bottom"/>
          </w:tcPr>
          <w:p>
            <w:pPr>
              <w:jc w:val="center"/>
              <w:ind w:left="858"/>
              <w:spacing w:after="0"/>
              <w:rPr>
                <w:sz w:val="20"/>
                <w:szCs w:val="20"/>
                <w:color w:val="auto"/>
              </w:rPr>
            </w:pPr>
            <w:r>
              <w:rPr>
                <w:rFonts w:ascii="Arial" w:cs="Arial" w:eastAsia="Arial" w:hAnsi="Arial"/>
                <w:sz w:val="16"/>
                <w:szCs w:val="16"/>
                <w:b w:val="1"/>
                <w:bCs w:val="1"/>
                <w:color w:val="auto"/>
                <w:w w:val="91"/>
              </w:rPr>
              <w:t>Suite 700</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720" w:type="dxa"/>
            <w:vAlign w:val="bottom"/>
          </w:tcPr>
          <w:p>
            <w:pPr>
              <w:jc w:val="right"/>
              <w:ind w:right="1899"/>
              <w:spacing w:after="0"/>
              <w:rPr>
                <w:sz w:val="20"/>
                <w:szCs w:val="20"/>
                <w:color w:val="auto"/>
              </w:rPr>
            </w:pPr>
            <w:r>
              <w:rPr>
                <w:rFonts w:ascii="Arial" w:cs="Arial" w:eastAsia="Arial" w:hAnsi="Arial"/>
                <w:sz w:val="16"/>
                <w:szCs w:val="16"/>
                <w:b w:val="1"/>
                <w:bCs w:val="1"/>
                <w:color w:val="auto"/>
              </w:rPr>
              <w:t>15219</w:t>
            </w:r>
          </w:p>
        </w:tc>
      </w:tr>
      <w:tr>
        <w:trPr>
          <w:trHeight w:val="256"/>
        </w:trPr>
        <w:tc>
          <w:tcPr>
            <w:tcW w:w="3620" w:type="dxa"/>
            <w:vAlign w:val="bottom"/>
          </w:tcPr>
          <w:p>
            <w:pPr>
              <w:ind w:left="1480"/>
              <w:spacing w:after="0"/>
              <w:rPr>
                <w:sz w:val="20"/>
                <w:szCs w:val="20"/>
                <w:color w:val="auto"/>
              </w:rPr>
            </w:pPr>
            <w:r>
              <w:rPr>
                <w:rFonts w:ascii="Arial" w:cs="Arial" w:eastAsia="Arial" w:hAnsi="Arial"/>
                <w:sz w:val="16"/>
                <w:szCs w:val="16"/>
                <w:b w:val="1"/>
                <w:bCs w:val="1"/>
                <w:color w:val="auto"/>
              </w:rPr>
              <w:t>Pittsburgh, Pennsylvania</w:t>
            </w: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720" w:type="dxa"/>
            <w:vAlign w:val="bottom"/>
          </w:tcPr>
          <w:p>
            <w:pPr>
              <w:jc w:val="center"/>
              <w:ind w:right="559"/>
              <w:spacing w:after="0"/>
              <w:rPr>
                <w:sz w:val="20"/>
                <w:szCs w:val="20"/>
                <w:color w:val="auto"/>
              </w:rPr>
            </w:pPr>
            <w:r>
              <w:rPr>
                <w:rFonts w:ascii="Arial" w:cs="Arial" w:eastAsia="Arial" w:hAnsi="Arial"/>
                <w:sz w:val="16"/>
                <w:szCs w:val="16"/>
                <w:color w:val="auto"/>
                <w:w w:val="95"/>
              </w:rPr>
              <w:t>(Zip Code)</w:t>
            </w:r>
          </w:p>
        </w:tc>
      </w:tr>
      <w:tr>
        <w:trPr>
          <w:trHeight w:val="257"/>
        </w:trPr>
        <w:tc>
          <w:tcPr>
            <w:tcW w:w="3620" w:type="dxa"/>
            <w:vAlign w:val="bottom"/>
          </w:tcPr>
          <w:p>
            <w:pPr>
              <w:jc w:val="center"/>
              <w:ind w:left="858"/>
              <w:spacing w:after="0"/>
              <w:rPr>
                <w:sz w:val="20"/>
                <w:szCs w:val="20"/>
                <w:color w:val="auto"/>
              </w:rPr>
            </w:pPr>
            <w:r>
              <w:rPr>
                <w:rFonts w:ascii="Arial" w:cs="Arial" w:eastAsia="Arial" w:hAnsi="Arial"/>
                <w:sz w:val="16"/>
                <w:szCs w:val="16"/>
                <w:color w:val="auto"/>
                <w:w w:val="93"/>
              </w:rPr>
              <w:t>(Address of principal executive offices)</w:t>
            </w: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720" w:type="dxa"/>
            <w:vAlign w:val="bottom"/>
          </w:tcPr>
          <w:p>
            <w:pPr>
              <w:spacing w:after="0"/>
              <w:rPr>
                <w:sz w:val="22"/>
                <w:szCs w:val="22"/>
                <w:color w:val="auto"/>
              </w:rPr>
            </w:pPr>
          </w:p>
        </w:tc>
      </w:tr>
      <w:tr>
        <w:trPr>
          <w:trHeight w:val="320"/>
        </w:trPr>
        <w:tc>
          <w:tcPr>
            <w:tcW w:w="3620" w:type="dxa"/>
            <w:vAlign w:val="bottom"/>
          </w:tcPr>
          <w:p>
            <w:pPr>
              <w:spacing w:after="0"/>
              <w:rPr>
                <w:sz w:val="24"/>
                <w:szCs w:val="24"/>
                <w:color w:val="auto"/>
              </w:rPr>
            </w:pPr>
          </w:p>
        </w:tc>
        <w:tc>
          <w:tcPr>
            <w:tcW w:w="2780" w:type="dxa"/>
            <w:vAlign w:val="bottom"/>
            <w:gridSpan w:val="3"/>
          </w:tcPr>
          <w:p>
            <w:pPr>
              <w:jc w:val="right"/>
              <w:ind w:right="177"/>
              <w:spacing w:after="0"/>
              <w:rPr>
                <w:sz w:val="20"/>
                <w:szCs w:val="20"/>
                <w:color w:val="auto"/>
              </w:rPr>
            </w:pPr>
            <w:r>
              <w:rPr>
                <w:rFonts w:ascii="Arial" w:cs="Arial" w:eastAsia="Arial" w:hAnsi="Arial"/>
                <w:sz w:val="16"/>
                <w:szCs w:val="16"/>
                <w:b w:val="1"/>
                <w:bCs w:val="1"/>
                <w:color w:val="auto"/>
              </w:rPr>
              <w:t>(412) 454-2200</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06"/>
        </w:trPr>
        <w:tc>
          <w:tcPr>
            <w:tcW w:w="3620" w:type="dxa"/>
            <w:vAlign w:val="bottom"/>
          </w:tcPr>
          <w:p>
            <w:pPr>
              <w:spacing w:after="0"/>
              <w:rPr>
                <w:sz w:val="17"/>
                <w:szCs w:val="17"/>
                <w:color w:val="auto"/>
              </w:rPr>
            </w:pPr>
          </w:p>
        </w:tc>
        <w:tc>
          <w:tcPr>
            <w:tcW w:w="3800" w:type="dxa"/>
            <w:vAlign w:val="bottom"/>
            <w:gridSpan w:val="5"/>
          </w:tcPr>
          <w:p>
            <w:pPr>
              <w:jc w:val="center"/>
              <w:ind w:left="137"/>
              <w:spacing w:after="0"/>
              <w:rPr>
                <w:sz w:val="20"/>
                <w:szCs w:val="20"/>
                <w:color w:val="auto"/>
              </w:rPr>
            </w:pPr>
            <w:r>
              <w:rPr>
                <w:rFonts w:ascii="Arial" w:cs="Arial" w:eastAsia="Arial" w:hAnsi="Arial"/>
                <w:sz w:val="16"/>
                <w:szCs w:val="16"/>
                <w:color w:val="auto"/>
                <w:w w:val="91"/>
              </w:rPr>
              <w:t>(Registrant's telephone number, including area code)</w:t>
            </w:r>
          </w:p>
        </w:tc>
        <w:tc>
          <w:tcPr>
            <w:tcW w:w="3720" w:type="dxa"/>
            <w:vAlign w:val="bottom"/>
          </w:tcPr>
          <w:p>
            <w:pPr>
              <w:spacing w:after="0"/>
              <w:rPr>
                <w:sz w:val="17"/>
                <w:szCs w:val="17"/>
                <w:color w:val="auto"/>
              </w:rPr>
            </w:pPr>
          </w:p>
        </w:tc>
      </w:tr>
      <w:tr>
        <w:trPr>
          <w:trHeight w:val="317"/>
        </w:trPr>
        <w:tc>
          <w:tcPr>
            <w:tcW w:w="3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0"/>
              </w:rPr>
              <w:t>Not applicable.</w:t>
            </w:r>
          </w:p>
        </w:tc>
        <w:tc>
          <w:tcPr>
            <w:tcW w:w="3720" w:type="dxa"/>
            <w:vAlign w:val="bottom"/>
          </w:tcPr>
          <w:p>
            <w:pPr>
              <w:spacing w:after="0"/>
              <w:rPr>
                <w:sz w:val="24"/>
                <w:szCs w:val="24"/>
                <w:color w:val="auto"/>
              </w:rPr>
            </w:pPr>
          </w:p>
        </w:tc>
      </w:tr>
      <w:tr>
        <w:trPr>
          <w:trHeight w:val="250"/>
        </w:trPr>
        <w:tc>
          <w:tcPr>
            <w:tcW w:w="3620" w:type="dxa"/>
            <w:vAlign w:val="bottom"/>
          </w:tcPr>
          <w:p>
            <w:pPr>
              <w:spacing w:after="0"/>
              <w:rPr>
                <w:sz w:val="21"/>
                <w:szCs w:val="21"/>
                <w:color w:val="auto"/>
              </w:rPr>
            </w:pPr>
          </w:p>
        </w:tc>
        <w:tc>
          <w:tcPr>
            <w:tcW w:w="7520" w:type="dxa"/>
            <w:vAlign w:val="bottom"/>
            <w:gridSpan w:val="6"/>
          </w:tcPr>
          <w:p>
            <w:pPr>
              <w:jc w:val="center"/>
              <w:ind w:right="3419"/>
              <w:spacing w:after="0"/>
              <w:rPr>
                <w:sz w:val="20"/>
                <w:szCs w:val="20"/>
                <w:color w:val="auto"/>
              </w:rPr>
            </w:pPr>
            <w:r>
              <w:rPr>
                <w:rFonts w:ascii="Arial" w:cs="Arial" w:eastAsia="Arial" w:hAnsi="Arial"/>
                <w:sz w:val="16"/>
                <w:szCs w:val="16"/>
                <w:color w:val="auto"/>
                <w:w w:val="90"/>
              </w:rPr>
              <w:t>(Former name or former address, if changed since last report)</w:t>
            </w:r>
          </w:p>
        </w:tc>
      </w:tr>
      <w:tr>
        <w:trPr>
          <w:trHeight w:val="384"/>
        </w:trPr>
        <w:tc>
          <w:tcPr>
            <w:tcW w:w="11140" w:type="dxa"/>
            <w:vAlign w:val="bottom"/>
            <w:gridSpan w:val="7"/>
          </w:tcPr>
          <w:p>
            <w:pPr>
              <w:jc w:val="center"/>
              <w:ind w:left="38"/>
              <w:spacing w:after="0"/>
              <w:rPr>
                <w:sz w:val="20"/>
                <w:szCs w:val="20"/>
                <w:color w:val="auto"/>
              </w:rPr>
            </w:pPr>
            <w:r>
              <w:rPr>
                <w:rFonts w:ascii="Arial" w:cs="Arial" w:eastAsia="Arial" w:hAnsi="Arial"/>
                <w:sz w:val="18"/>
                <w:szCs w:val="18"/>
                <w:b w:val="1"/>
                <w:bCs w:val="1"/>
                <w:color w:val="auto"/>
                <w:w w:val="99"/>
              </w:rPr>
              <w:t>SECURITIES REGISTERED PURSUANT TO SECTION 12(b) OF THE ACT:</w:t>
            </w:r>
          </w:p>
        </w:tc>
      </w:tr>
      <w:tr>
        <w:trPr>
          <w:trHeight w:val="250"/>
        </w:trPr>
        <w:tc>
          <w:tcPr>
            <w:tcW w:w="3620" w:type="dxa"/>
            <w:vAlign w:val="bottom"/>
          </w:tcPr>
          <w:p>
            <w:pPr>
              <w:jc w:val="center"/>
              <w:ind w:left="838"/>
              <w:spacing w:after="0"/>
              <w:rPr>
                <w:sz w:val="20"/>
                <w:szCs w:val="20"/>
                <w:color w:val="auto"/>
              </w:rPr>
            </w:pPr>
            <w:r>
              <w:rPr>
                <w:rFonts w:ascii="Arial" w:cs="Arial" w:eastAsia="Arial" w:hAnsi="Arial"/>
                <w:sz w:val="16"/>
                <w:szCs w:val="16"/>
                <w:b w:val="1"/>
                <w:bCs w:val="1"/>
                <w:color w:val="auto"/>
                <w:w w:val="90"/>
              </w:rPr>
              <w:t>Title of Class</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40" w:type="dxa"/>
            <w:vAlign w:val="bottom"/>
            <w:gridSpan w:val="3"/>
          </w:tcPr>
          <w:p>
            <w:pPr>
              <w:jc w:val="center"/>
              <w:ind w:right="1020"/>
              <w:spacing w:after="0"/>
              <w:rPr>
                <w:sz w:val="20"/>
                <w:szCs w:val="20"/>
                <w:color w:val="auto"/>
              </w:rPr>
            </w:pPr>
            <w:r>
              <w:rPr>
                <w:rFonts w:ascii="Arial" w:cs="Arial" w:eastAsia="Arial" w:hAnsi="Arial"/>
                <w:sz w:val="16"/>
                <w:szCs w:val="16"/>
                <w:b w:val="1"/>
                <w:bCs w:val="1"/>
                <w:color w:val="auto"/>
                <w:w w:val="91"/>
              </w:rPr>
              <w:t>Trading Symbol(s)</w:t>
            </w:r>
          </w:p>
        </w:tc>
        <w:tc>
          <w:tcPr>
            <w:tcW w:w="3720" w:type="dxa"/>
            <w:vAlign w:val="bottom"/>
          </w:tcPr>
          <w:p>
            <w:pPr>
              <w:jc w:val="center"/>
              <w:ind w:right="799"/>
              <w:spacing w:after="0"/>
              <w:rPr>
                <w:sz w:val="20"/>
                <w:szCs w:val="20"/>
                <w:color w:val="auto"/>
              </w:rPr>
            </w:pPr>
            <w:r>
              <w:rPr>
                <w:rFonts w:ascii="Arial" w:cs="Arial" w:eastAsia="Arial" w:hAnsi="Arial"/>
                <w:sz w:val="16"/>
                <w:szCs w:val="16"/>
                <w:b w:val="1"/>
                <w:bCs w:val="1"/>
                <w:color w:val="auto"/>
                <w:w w:val="89"/>
              </w:rPr>
              <w:t>Name of Exchange on which registered</w:t>
            </w:r>
          </w:p>
        </w:tc>
      </w:tr>
      <w:tr>
        <w:trPr>
          <w:trHeight w:val="33"/>
        </w:trPr>
        <w:tc>
          <w:tcPr>
            <w:tcW w:w="3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217"/>
        </w:trPr>
        <w:tc>
          <w:tcPr>
            <w:tcW w:w="3620" w:type="dxa"/>
            <w:vAlign w:val="bottom"/>
          </w:tcPr>
          <w:p>
            <w:pPr>
              <w:jc w:val="center"/>
              <w:ind w:left="858"/>
              <w:spacing w:after="0"/>
              <w:rPr>
                <w:sz w:val="20"/>
                <w:szCs w:val="20"/>
                <w:color w:val="auto"/>
              </w:rPr>
            </w:pPr>
            <w:r>
              <w:rPr>
                <w:rFonts w:ascii="Arial" w:cs="Arial" w:eastAsia="Arial" w:hAnsi="Arial"/>
                <w:sz w:val="16"/>
                <w:szCs w:val="16"/>
                <w:color w:val="auto"/>
                <w:w w:val="90"/>
              </w:rPr>
              <w:t>Common Stock, par value $.01 per share</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gridSpan w:val="3"/>
          </w:tcPr>
          <w:p>
            <w:pPr>
              <w:jc w:val="center"/>
              <w:ind w:right="1020"/>
              <w:spacing w:after="0"/>
              <w:rPr>
                <w:sz w:val="20"/>
                <w:szCs w:val="20"/>
                <w:color w:val="auto"/>
              </w:rPr>
            </w:pPr>
            <w:r>
              <w:rPr>
                <w:rFonts w:ascii="Arial" w:cs="Arial" w:eastAsia="Arial" w:hAnsi="Arial"/>
                <w:sz w:val="16"/>
                <w:szCs w:val="16"/>
                <w:color w:val="auto"/>
                <w:w w:val="94"/>
              </w:rPr>
              <w:t>WCC</w:t>
            </w:r>
          </w:p>
        </w:tc>
        <w:tc>
          <w:tcPr>
            <w:tcW w:w="3720" w:type="dxa"/>
            <w:vAlign w:val="bottom"/>
          </w:tcPr>
          <w:p>
            <w:pPr>
              <w:jc w:val="center"/>
              <w:ind w:right="799"/>
              <w:spacing w:after="0"/>
              <w:rPr>
                <w:sz w:val="20"/>
                <w:szCs w:val="20"/>
                <w:color w:val="auto"/>
              </w:rPr>
            </w:pPr>
            <w:r>
              <w:rPr>
                <w:rFonts w:ascii="Arial" w:cs="Arial" w:eastAsia="Arial" w:hAnsi="Arial"/>
                <w:sz w:val="16"/>
                <w:szCs w:val="16"/>
                <w:color w:val="auto"/>
                <w:w w:val="92"/>
              </w:rPr>
              <w:t>New York Stock Exchange</w:t>
            </w:r>
          </w:p>
        </w:tc>
      </w:tr>
    </w:tbl>
    <w:p>
      <w:pPr>
        <w:spacing w:after="0" w:line="3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0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14" w:lineRule="exact"/>
        <w:rPr>
          <w:sz w:val="24"/>
          <w:szCs w:val="24"/>
          <w:color w:val="auto"/>
        </w:rPr>
      </w:pPr>
    </w:p>
    <w:p>
      <w:pPr>
        <w:ind w:left="180" w:right="3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180"/>
        <w:spacing w:after="0" w:line="207" w:lineRule="exact"/>
        <w:tabs>
          <w:tab w:leader="none" w:pos="27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63" w:lineRule="exact"/>
        <w:rPr>
          <w:sz w:val="24"/>
          <w:szCs w:val="24"/>
          <w:color w:val="auto"/>
        </w:rPr>
      </w:pPr>
    </w:p>
    <w:p>
      <w:pPr>
        <w:ind w:left="180" w:right="340"/>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228600</wp:posOffset>
            </wp:positionV>
            <wp:extent cx="68237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23710"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254000</wp:posOffset>
            </wp:positionV>
            <wp:extent cx="68237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2371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7.01. Regulation FD Disclosure.</w:t>
      </w:r>
    </w:p>
    <w:p>
      <w:pPr>
        <w:spacing w:after="0" w:line="168" w:lineRule="exact"/>
        <w:rPr>
          <w:sz w:val="20"/>
          <w:szCs w:val="20"/>
          <w:color w:val="auto"/>
        </w:rPr>
      </w:pPr>
    </w:p>
    <w:p>
      <w:pPr>
        <w:ind w:right="40" w:firstLine="243"/>
        <w:spacing w:after="0" w:line="244" w:lineRule="auto"/>
        <w:rPr>
          <w:sz w:val="20"/>
          <w:szCs w:val="20"/>
          <w:color w:val="auto"/>
        </w:rPr>
      </w:pPr>
      <w:r>
        <w:rPr>
          <w:rFonts w:ascii="Arial" w:cs="Arial" w:eastAsia="Arial" w:hAnsi="Arial"/>
          <w:sz w:val="20"/>
          <w:szCs w:val="20"/>
          <w:color w:val="auto"/>
        </w:rPr>
        <w:t>On May 29, 2020 WESCO International, Inc. (the “Company”) issued a press release (the “Press Release”) announcing the extension of WESCO Distribution, Inc.’s tender offers (the “Offers”) for any and all of Anixter Inc.’s (“Anixter”), a wholly owned subsidiary of Anixter International Inc., outstanding 5.50% Senior Notes due 2023 and any and all of Anixter’s outstanding 6.00% Senior Notes due 2025. As a result of the extension, the Offers will now expire at 11:59 p.m., New York City time, on June 15, 2020, unless extended or earlier terminated by the Company.</w:t>
      </w:r>
    </w:p>
    <w:p>
      <w:pPr>
        <w:spacing w:after="0" w:line="140" w:lineRule="exact"/>
        <w:rPr>
          <w:sz w:val="20"/>
          <w:szCs w:val="20"/>
          <w:color w:val="auto"/>
        </w:rPr>
      </w:pPr>
    </w:p>
    <w:p>
      <w:pPr>
        <w:ind w:right="40" w:firstLine="243"/>
        <w:spacing w:after="0" w:line="260" w:lineRule="auto"/>
        <w:rPr>
          <w:sz w:val="20"/>
          <w:szCs w:val="20"/>
          <w:color w:val="auto"/>
        </w:rPr>
      </w:pPr>
      <w:r>
        <w:rPr>
          <w:rFonts w:ascii="Arial" w:cs="Arial" w:eastAsia="Arial" w:hAnsi="Arial"/>
          <w:sz w:val="20"/>
          <w:szCs w:val="20"/>
          <w:color w:val="auto"/>
        </w:rPr>
        <w:t>A copy of the Press Release is being furnished as Exhibit 99.1 to this Current Report on Form 8-K and is incorporated in this Item 7.01 by reference herein.</w:t>
      </w:r>
    </w:p>
    <w:p>
      <w:pPr>
        <w:spacing w:after="0" w:line="123" w:lineRule="exact"/>
        <w:rPr>
          <w:sz w:val="20"/>
          <w:szCs w:val="20"/>
          <w:color w:val="auto"/>
        </w:rPr>
      </w:pPr>
    </w:p>
    <w:p>
      <w:pPr>
        <w:ind w:right="120" w:firstLine="243"/>
        <w:spacing w:after="0" w:line="260" w:lineRule="auto"/>
        <w:rPr>
          <w:sz w:val="20"/>
          <w:szCs w:val="20"/>
          <w:color w:val="auto"/>
        </w:rPr>
      </w:pPr>
      <w:r>
        <w:rPr>
          <w:rFonts w:ascii="Arial" w:cs="Arial" w:eastAsia="Arial" w:hAnsi="Arial"/>
          <w:sz w:val="20"/>
          <w:szCs w:val="20"/>
          <w:color w:val="auto"/>
        </w:rPr>
        <w:t>This information that is furnished shall not be deemed “filed” for purposes of Section 18 of the Exchange Act, or otherwise subject to the liabilities of that Section.</w:t>
      </w:r>
    </w:p>
    <w:p>
      <w:pPr>
        <w:spacing w:after="0" w:line="177" w:lineRule="exact"/>
        <w:rPr>
          <w:sz w:val="20"/>
          <w:szCs w:val="20"/>
          <w:color w:val="auto"/>
        </w:rPr>
      </w:pPr>
    </w:p>
    <w:p>
      <w:pPr>
        <w:ind w:right="240" w:firstLine="243"/>
        <w:spacing w:after="0" w:line="316" w:lineRule="auto"/>
        <w:rPr>
          <w:sz w:val="20"/>
          <w:szCs w:val="20"/>
          <w:color w:val="auto"/>
        </w:rPr>
      </w:pPr>
      <w:r>
        <w:rPr>
          <w:rFonts w:ascii="Arial" w:cs="Arial" w:eastAsia="Arial" w:hAnsi="Arial"/>
          <w:sz w:val="18"/>
          <w:szCs w:val="18"/>
          <w:color w:val="auto"/>
        </w:rPr>
        <w:t>The information and exhibit in this Current Report on Form 8-K shall not be deemed incorporated by reference into any filing under the Securities Act of 1933, as amended, or the Exchange Act, except as shall be expressly set forth by specific reference in such filing.</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195" w:lineRule="exact"/>
        <w:rPr>
          <w:sz w:val="20"/>
          <w:szCs w:val="20"/>
          <w:color w:val="auto"/>
        </w:rPr>
      </w:pPr>
    </w:p>
    <w:p>
      <w:pPr>
        <w:ind w:right="480" w:firstLine="243"/>
        <w:spacing w:after="0" w:line="260" w:lineRule="auto"/>
        <w:rPr>
          <w:sz w:val="20"/>
          <w:szCs w:val="20"/>
          <w:color w:val="auto"/>
        </w:rPr>
      </w:pPr>
      <w:r>
        <w:rPr>
          <w:rFonts w:ascii="Arial" w:cs="Arial" w:eastAsia="Arial" w:hAnsi="Arial"/>
          <w:sz w:val="20"/>
          <w:szCs w:val="20"/>
          <w:color w:val="auto"/>
        </w:rPr>
        <w:t>This information that is furnished in Exhibit No. 99.1 shall not be deemed “filed” for purposes of Section 18 of the Exchange Act, or otherwise subject to the liabilities of that Section.</w:t>
      </w:r>
    </w:p>
    <w:p>
      <w:pPr>
        <w:spacing w:after="0" w:line="150" w:lineRule="exact"/>
        <w:rPr>
          <w:sz w:val="20"/>
          <w:szCs w:val="20"/>
          <w:color w:val="auto"/>
        </w:rPr>
      </w:pPr>
    </w:p>
    <w:p>
      <w:pPr>
        <w:ind w:left="280" w:hanging="272"/>
        <w:spacing w:after="0"/>
        <w:tabs>
          <w:tab w:leader="none" w:pos="280" w:val="left"/>
        </w:tabs>
        <w:numPr>
          <w:ilvl w:val="0"/>
          <w:numId w:val="2"/>
        </w:numPr>
        <w:rPr>
          <w:rFonts w:ascii="Arial" w:cs="Arial" w:eastAsia="Arial" w:hAnsi="Arial"/>
          <w:sz w:val="20"/>
          <w:szCs w:val="20"/>
          <w:color w:val="auto"/>
        </w:rPr>
      </w:pPr>
      <w:r>
        <w:rPr>
          <w:rFonts w:ascii="Arial" w:cs="Arial" w:eastAsia="Arial" w:hAnsi="Arial"/>
          <w:sz w:val="20"/>
          <w:szCs w:val="20"/>
          <w:u w:val="single" w:color="auto"/>
          <w:color w:val="auto"/>
        </w:rPr>
        <w:t>Exhibits</w:t>
      </w:r>
      <w:r>
        <w:rPr>
          <w:rFonts w:ascii="Arial" w:cs="Arial" w:eastAsia="Arial" w:hAnsi="Arial"/>
          <w:sz w:val="20"/>
          <w:szCs w:val="20"/>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280" w:type="dxa"/>
            <w:vAlign w:val="bottom"/>
            <w:gridSpan w:val="2"/>
          </w:tcPr>
          <w:p>
            <w:pPr>
              <w:ind w:left="20"/>
              <w:spacing w:after="0"/>
              <w:rPr>
                <w:sz w:val="20"/>
                <w:szCs w:val="20"/>
                <w:color w:val="auto"/>
              </w:rPr>
            </w:pPr>
            <w:r>
              <w:rPr>
                <w:rFonts w:ascii="Arial" w:cs="Arial" w:eastAsia="Arial" w:hAnsi="Arial"/>
                <w:sz w:val="20"/>
                <w:szCs w:val="20"/>
                <w:color w:val="auto"/>
              </w:rPr>
              <w:t>Exhibit No.</w:t>
            </w:r>
          </w:p>
        </w:tc>
        <w:tc>
          <w:tcPr>
            <w:tcW w:w="8960" w:type="dxa"/>
            <w:vAlign w:val="bottom"/>
            <w:gridSpan w:val="2"/>
          </w:tcPr>
          <w:p>
            <w:pPr>
              <w:ind w:left="20"/>
              <w:spacing w:after="0"/>
              <w:rPr>
                <w:sz w:val="20"/>
                <w:szCs w:val="20"/>
                <w:color w:val="auto"/>
              </w:rPr>
            </w:pPr>
            <w:r>
              <w:rPr>
                <w:rFonts w:ascii="Arial" w:cs="Arial" w:eastAsia="Arial" w:hAnsi="Arial"/>
                <w:sz w:val="20"/>
                <w:szCs w:val="20"/>
                <w:color w:val="auto"/>
              </w:rPr>
              <w:t>Description</w:t>
            </w:r>
          </w:p>
        </w:tc>
      </w:tr>
      <w:tr>
        <w:trPr>
          <w:trHeight w:val="23"/>
        </w:trPr>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58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r>
      <w:tr>
        <w:trPr>
          <w:trHeight w:val="281"/>
        </w:trPr>
        <w:tc>
          <w:tcPr>
            <w:tcW w:w="2160" w:type="dxa"/>
            <w:vAlign w:val="bottom"/>
          </w:tcPr>
          <w:p>
            <w:pPr>
              <w:ind w:left="20"/>
              <w:spacing w:after="0"/>
              <w:rPr>
                <w:sz w:val="20"/>
                <w:szCs w:val="20"/>
                <w:color w:val="auto"/>
              </w:rPr>
            </w:pPr>
            <w:r>
              <w:rPr>
                <w:rFonts w:ascii="Arial" w:cs="Arial" w:eastAsia="Arial" w:hAnsi="Arial"/>
                <w:sz w:val="20"/>
                <w:szCs w:val="20"/>
                <w:color w:val="auto"/>
              </w:rPr>
              <w:t>99.1</w:t>
            </w:r>
          </w:p>
        </w:tc>
        <w:tc>
          <w:tcPr>
            <w:tcW w:w="120" w:type="dxa"/>
            <w:vAlign w:val="bottom"/>
          </w:tcPr>
          <w:p>
            <w:pPr>
              <w:spacing w:after="0"/>
              <w:rPr>
                <w:sz w:val="24"/>
                <w:szCs w:val="24"/>
                <w:color w:val="auto"/>
              </w:rPr>
            </w:pPr>
          </w:p>
        </w:tc>
        <w:tc>
          <w:tcPr>
            <w:tcW w:w="8960" w:type="dxa"/>
            <w:vAlign w:val="bottom"/>
            <w:gridSpan w:val="2"/>
          </w:tcPr>
          <w:p>
            <w:pPr>
              <w:ind w:left="20"/>
              <w:spacing w:after="0"/>
              <w:rPr>
                <w:rFonts w:ascii="Arial" w:cs="Arial" w:eastAsia="Arial" w:hAnsi="Arial"/>
                <w:sz w:val="20"/>
                <w:szCs w:val="20"/>
                <w:u w:val="single" w:color="auto"/>
                <w:color w:val="0000FF"/>
              </w:rPr>
            </w:pPr>
            <w:hyperlink w:anchor="page4">
              <w:r>
                <w:rPr>
                  <w:rFonts w:ascii="Arial" w:cs="Arial" w:eastAsia="Arial" w:hAnsi="Arial"/>
                  <w:sz w:val="20"/>
                  <w:szCs w:val="20"/>
                  <w:u w:val="single" w:color="auto"/>
                  <w:color w:val="0000FF"/>
                </w:rPr>
                <w:t>Press Release, dated May 29, 2020.</w:t>
              </w:r>
            </w:hyperlink>
          </w:p>
        </w:tc>
      </w:tr>
      <w:tr>
        <w:trPr>
          <w:trHeight w:val="257"/>
        </w:trPr>
        <w:tc>
          <w:tcPr>
            <w:tcW w:w="2160" w:type="dxa"/>
            <w:vAlign w:val="bottom"/>
          </w:tcPr>
          <w:p>
            <w:pPr>
              <w:ind w:left="20"/>
              <w:spacing w:after="0"/>
              <w:rPr>
                <w:sz w:val="20"/>
                <w:szCs w:val="20"/>
                <w:color w:val="auto"/>
              </w:rPr>
            </w:pPr>
            <w:r>
              <w:rPr>
                <w:rFonts w:ascii="Arial" w:cs="Arial" w:eastAsia="Arial" w:hAnsi="Arial"/>
                <w:sz w:val="20"/>
                <w:szCs w:val="20"/>
                <w:color w:val="auto"/>
              </w:rPr>
              <w:t>104</w:t>
            </w:r>
          </w:p>
        </w:tc>
        <w:tc>
          <w:tcPr>
            <w:tcW w:w="120" w:type="dxa"/>
            <w:vAlign w:val="bottom"/>
          </w:tcPr>
          <w:p>
            <w:pPr>
              <w:spacing w:after="0"/>
              <w:rPr>
                <w:sz w:val="22"/>
                <w:szCs w:val="22"/>
                <w:color w:val="auto"/>
              </w:rPr>
            </w:pPr>
          </w:p>
        </w:tc>
        <w:tc>
          <w:tcPr>
            <w:tcW w:w="8960" w:type="dxa"/>
            <w:vAlign w:val="bottom"/>
            <w:gridSpan w:val="2"/>
          </w:tcPr>
          <w:p>
            <w:pPr>
              <w:ind w:left="20"/>
              <w:spacing w:after="0"/>
              <w:rPr>
                <w:sz w:val="20"/>
                <w:szCs w:val="20"/>
                <w:color w:val="auto"/>
              </w:rPr>
            </w:pPr>
            <w:r>
              <w:rPr>
                <w:rFonts w:ascii="Arial" w:cs="Arial" w:eastAsia="Arial" w:hAnsi="Arial"/>
                <w:sz w:val="20"/>
                <w:szCs w:val="20"/>
                <w:color w:val="auto"/>
              </w:rPr>
              <w:t>Cover Page Interactive Data File (embedded within the Inline XBRL document)</w:t>
            </w:r>
          </w:p>
        </w:tc>
      </w:tr>
      <w:tr>
        <w:trPr>
          <w:trHeight w:val="556"/>
        </w:trPr>
        <w:tc>
          <w:tcPr>
            <w:tcW w:w="2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49" w:lineRule="exact"/>
        <w:rPr>
          <w:sz w:val="20"/>
          <w:szCs w:val="20"/>
          <w:color w:val="auto"/>
        </w:rPr>
      </w:pPr>
    </w:p>
    <w:p>
      <w:pPr>
        <w:ind w:firstLine="486"/>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58" w:lineRule="exact"/>
        <w:rPr>
          <w:sz w:val="20"/>
          <w:szCs w:val="20"/>
          <w:color w:val="auto"/>
        </w:rPr>
      </w:pPr>
    </w:p>
    <w:tbl>
      <w:tblPr>
        <w:tblLayout w:type="fixed"/>
        <w:tblInd w:w="1740" w:type="dxa"/>
        <w:tblCellMar>
          <w:top w:w="0" w:type="dxa"/>
          <w:left w:w="0" w:type="dxa"/>
          <w:bottom w:w="0" w:type="dxa"/>
          <w:right w:w="0" w:type="dxa"/>
        </w:tblCellMar>
      </w:tblPr>
      <w:tr>
        <w:trPr>
          <w:trHeight w:val="250"/>
        </w:trPr>
        <w:tc>
          <w:tcPr>
            <w:tcW w:w="2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0" w:type="dxa"/>
            <w:vAlign w:val="bottom"/>
          </w:tcPr>
          <w:p>
            <w:pPr>
              <w:jc w:val="center"/>
              <w:spacing w:after="0"/>
              <w:rPr>
                <w:sz w:val="20"/>
                <w:szCs w:val="20"/>
                <w:color w:val="auto"/>
              </w:rPr>
            </w:pPr>
            <w:r>
              <w:rPr>
                <w:rFonts w:ascii="Arial" w:cs="Arial" w:eastAsia="Arial" w:hAnsi="Arial"/>
                <w:sz w:val="20"/>
                <w:szCs w:val="20"/>
                <w:color w:val="auto"/>
                <w:w w:val="92"/>
              </w:rPr>
              <w:t>WESCO International, Inc.</w:t>
            </w:r>
          </w:p>
        </w:tc>
      </w:tr>
      <w:tr>
        <w:trPr>
          <w:trHeight w:val="23"/>
        </w:trPr>
        <w:tc>
          <w:tcPr>
            <w:tcW w:w="2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54"/>
        </w:trPr>
        <w:tc>
          <w:tcPr>
            <w:tcW w:w="29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0" w:type="dxa"/>
            <w:vAlign w:val="bottom"/>
          </w:tcPr>
          <w:p>
            <w:pPr>
              <w:jc w:val="center"/>
              <w:spacing w:after="0"/>
              <w:rPr>
                <w:sz w:val="20"/>
                <w:szCs w:val="20"/>
                <w:color w:val="auto"/>
              </w:rPr>
            </w:pPr>
            <w:r>
              <w:rPr>
                <w:rFonts w:ascii="Arial" w:cs="Arial" w:eastAsia="Arial" w:hAnsi="Arial"/>
                <w:sz w:val="20"/>
                <w:szCs w:val="20"/>
                <w:color w:val="auto"/>
                <w:w w:val="89"/>
              </w:rPr>
              <w:t>(Registrant)</w:t>
            </w:r>
          </w:p>
        </w:tc>
      </w:tr>
      <w:tr>
        <w:trPr>
          <w:trHeight w:val="661"/>
        </w:trPr>
        <w:tc>
          <w:tcPr>
            <w:tcW w:w="2920" w:type="dxa"/>
            <w:vAlign w:val="bottom"/>
          </w:tcPr>
          <w:p>
            <w:pPr>
              <w:jc w:val="center"/>
              <w:spacing w:after="0"/>
              <w:rPr>
                <w:sz w:val="20"/>
                <w:szCs w:val="20"/>
                <w:color w:val="auto"/>
              </w:rPr>
            </w:pPr>
            <w:r>
              <w:rPr>
                <w:rFonts w:ascii="Arial" w:cs="Arial" w:eastAsia="Arial" w:hAnsi="Arial"/>
                <w:sz w:val="20"/>
                <w:szCs w:val="20"/>
                <w:color w:val="auto"/>
                <w:w w:val="90"/>
              </w:rPr>
              <w:t>May 29, 2020</w:t>
            </w:r>
          </w:p>
        </w:tc>
        <w:tc>
          <w:tcPr>
            <w:tcW w:w="4860" w:type="dxa"/>
            <w:vAlign w:val="bottom"/>
            <w:gridSpan w:val="2"/>
          </w:tcPr>
          <w:p>
            <w:pPr>
              <w:ind w:left="140"/>
              <w:spacing w:after="0"/>
              <w:rPr>
                <w:sz w:val="20"/>
                <w:szCs w:val="20"/>
                <w:color w:val="auto"/>
              </w:rPr>
            </w:pPr>
            <w:r>
              <w:rPr>
                <w:rFonts w:ascii="Arial" w:cs="Arial" w:eastAsia="Arial" w:hAnsi="Arial"/>
                <w:sz w:val="20"/>
                <w:szCs w:val="20"/>
                <w:color w:val="auto"/>
              </w:rPr>
              <w:t>By: /s/ David S. Schulz</w:t>
            </w:r>
          </w:p>
        </w:tc>
      </w:tr>
      <w:tr>
        <w:trPr>
          <w:trHeight w:val="23"/>
        </w:trPr>
        <w:tc>
          <w:tcPr>
            <w:tcW w:w="29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54"/>
        </w:trPr>
        <w:tc>
          <w:tcPr>
            <w:tcW w:w="2920" w:type="dxa"/>
            <w:vAlign w:val="bottom"/>
          </w:tcPr>
          <w:p>
            <w:pPr>
              <w:jc w:val="center"/>
              <w:spacing w:after="0"/>
              <w:rPr>
                <w:sz w:val="20"/>
                <w:szCs w:val="20"/>
                <w:color w:val="auto"/>
              </w:rPr>
            </w:pPr>
            <w:r>
              <w:rPr>
                <w:rFonts w:ascii="Arial" w:cs="Arial" w:eastAsia="Arial" w:hAnsi="Arial"/>
                <w:sz w:val="20"/>
                <w:szCs w:val="20"/>
                <w:color w:val="auto"/>
                <w:w w:val="89"/>
              </w:rPr>
              <w:t>(Date)</w:t>
            </w:r>
          </w:p>
        </w:tc>
        <w:tc>
          <w:tcPr>
            <w:tcW w:w="460" w:type="dxa"/>
            <w:vAlign w:val="bottom"/>
          </w:tcPr>
          <w:p>
            <w:pPr>
              <w:spacing w:after="0"/>
              <w:rPr>
                <w:sz w:val="22"/>
                <w:szCs w:val="22"/>
                <w:color w:val="auto"/>
              </w:rPr>
            </w:pPr>
          </w:p>
        </w:tc>
        <w:tc>
          <w:tcPr>
            <w:tcW w:w="4400" w:type="dxa"/>
            <w:vAlign w:val="bottom"/>
          </w:tcPr>
          <w:p>
            <w:pPr>
              <w:spacing w:after="0"/>
              <w:rPr>
                <w:sz w:val="20"/>
                <w:szCs w:val="20"/>
                <w:color w:val="auto"/>
              </w:rPr>
            </w:pPr>
            <w:r>
              <w:rPr>
                <w:rFonts w:ascii="Arial" w:cs="Arial" w:eastAsia="Arial" w:hAnsi="Arial"/>
                <w:sz w:val="20"/>
                <w:szCs w:val="20"/>
                <w:color w:val="auto"/>
              </w:rPr>
              <w:t>David S. Schulz</w:t>
            </w:r>
          </w:p>
        </w:tc>
      </w:tr>
      <w:tr>
        <w:trPr>
          <w:trHeight w:val="283"/>
        </w:trPr>
        <w:tc>
          <w:tcPr>
            <w:tcW w:w="2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Arial" w:cs="Arial" w:eastAsia="Arial" w:hAnsi="Arial"/>
                <w:sz w:val="20"/>
                <w:szCs w:val="20"/>
                <w:color w:val="auto"/>
              </w:rPr>
              <w:t>Senior Vice President and Chief Financial Officer</w:t>
            </w:r>
          </w:p>
        </w:tc>
      </w:tr>
    </w:tbl>
    <w:p>
      <w:pPr>
        <w:sectPr>
          <w:pgSz w:w="11900" w:h="16838" w:orient="portrait"/>
          <w:cols w:equalWidth="0" w:num="1">
            <w:col w:w="11240"/>
          </w:cols>
          <w:pgMar w:left="320" w:top="9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414020</wp:posOffset>
            </wp:positionH>
            <wp:positionV relativeFrom="page">
              <wp:posOffset>937895</wp:posOffset>
            </wp:positionV>
            <wp:extent cx="899795" cy="8572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899795" cy="857250"/>
                    </a:xfrm>
                    <a:prstGeom prst="rect">
                      <a:avLst/>
                    </a:prstGeom>
                    <a:noFill/>
                  </pic:spPr>
                </pic:pic>
              </a:graphicData>
            </a:graphic>
          </wp:anchor>
        </w:drawing>
      </w:r>
    </w:p>
    <w:p>
      <w:pPr>
        <w:spacing w:after="0" w:line="367"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37465</wp:posOffset>
            </wp:positionV>
            <wp:extent cx="52031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03190" cy="8255"/>
                    </a:xfrm>
                    <a:prstGeom prst="rect">
                      <a:avLst/>
                    </a:prstGeom>
                    <a:noFill/>
                  </pic:spPr>
                </pic:pic>
              </a:graphicData>
            </a:graphic>
          </wp:anchor>
        </w:drawing>
      </w:r>
    </w:p>
    <w:p>
      <w:pPr>
        <w:spacing w:after="0" w:line="81" w:lineRule="exact"/>
        <w:rPr>
          <w:sz w:val="20"/>
          <w:szCs w:val="20"/>
          <w:color w:val="auto"/>
        </w:rPr>
      </w:pPr>
    </w:p>
    <w:p>
      <w:pPr>
        <w:ind w:left="2080"/>
        <w:spacing w:after="0"/>
        <w:rPr>
          <w:sz w:val="20"/>
          <w:szCs w:val="20"/>
          <w:color w:val="auto"/>
        </w:rPr>
      </w:pPr>
      <w:r>
        <w:rPr>
          <w:rFonts w:ascii="Arial" w:cs="Arial" w:eastAsia="Arial" w:hAnsi="Arial"/>
          <w:sz w:val="16"/>
          <w:szCs w:val="16"/>
          <w:color w:val="auto"/>
        </w:rPr>
        <w:t>WESCO International, Inc. / Suite 700, 225 West Station Square Drive / Pittsburgh, PA 15219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271" w:lineRule="auto"/>
        <w:rPr>
          <w:sz w:val="20"/>
          <w:szCs w:val="20"/>
          <w:color w:val="auto"/>
        </w:rPr>
      </w:pPr>
      <w:r>
        <w:rPr>
          <w:rFonts w:ascii="Arial" w:cs="Arial" w:eastAsia="Arial" w:hAnsi="Arial"/>
          <w:sz w:val="20"/>
          <w:szCs w:val="20"/>
          <w:b w:val="1"/>
          <w:bCs w:val="1"/>
          <w:color w:val="auto"/>
        </w:rPr>
        <w:t>WESCO Distribution, Inc. announces extension of Expiration Time of its offers to purchase for cash any and all of Anixter Inc.’s 5.50% Senior Notes due 2023 and 6.00% Senior Notes due 2025</w:t>
      </w:r>
    </w:p>
    <w:p>
      <w:pPr>
        <w:spacing w:after="0" w:line="15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PITTSBURGH, Pa. – May 29, 2020 – WESCO International, Inc. (NYSE: WCC) (“WESCO International”) announced today that WESCO Distribution, Inc. (“WESCO”) has extended the Expiration Time (as defined below) of WESCO’s previously announced tender offers (each, an “Offer” and, together, the “Offers”) to purchase for cash any and all of Anixter Inc.’s (“Anixter”) outstanding (i) 5.50% Senior Notes due 2023 (the “2023 Notes”) and (ii) 6.00% Senior Notes due 2025 (the “2025 Notes” and, together with the 2023 Notes, the “Notes,” and each such series of the Notes, a “Series”).</w:t>
      </w:r>
    </w:p>
    <w:p>
      <w:pPr>
        <w:spacing w:after="0" w:line="19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expiration date applicable to the Offers, previously scheduled for 11:59 p.m., New York City time, on May 28, 2020, has been extended to 11:59 p.m., New York City time, on June 15, 2020, unless extended or earlier terminated by WESCO (the “Expiration Time”).</w:t>
      </w:r>
    </w:p>
    <w:p>
      <w:pPr>
        <w:spacing w:after="0" w:line="19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Offers are being conducted in connection with the merger agreement, dated as of January 10, 2020 (as it may be amended from time to time, the “Merger Agreement”), pursuant to which WESCO International has agreed to acquire Anixter International Inc. (“Anixter International” and, such transaction, the “Merger”). The Offers are open to any registered holders of the Notes other than any holder that has consented and is eligible to receive the consent fee outlined in the Offer to Purchase (as defined below) (individually, a “Holder,” and collectively, the “Holders”).</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 xml:space="preserve">Each Offer is conditioned upon, among other things, the substantially concurrent or prior closing of the Merger. WESCO intends to further extend the Expiration Time with respect to each Offer as necessary, without extending the Withdrawal Deadline (unless required by law), to have the payment of the consideration in respect of such Offer occur concurrently with, or promptly after, the closing of the Merger. WESCO International and Anixter International expect to complete the Merger in the second or third calendar quarter of 2020, but the Merger Agreement provides for the outside date thereunder to be automatically extended to as late as January 11, 2021 under certain circumstances and the parties could mutually agree to extend the outside date under the Merger Agreement beyond that date. </w:t>
      </w:r>
      <w:r>
        <w:rPr>
          <w:rFonts w:ascii="Arial" w:cs="Arial" w:eastAsia="Arial" w:hAnsi="Arial"/>
          <w:sz w:val="19"/>
          <w:szCs w:val="19"/>
          <w:b w:val="1"/>
          <w:bCs w:val="1"/>
          <w:color w:val="auto"/>
        </w:rPr>
        <w:t>Accordingly, any Holder who tendered Notes (and did not validly withdraw</w:t>
      </w:r>
      <w:r>
        <w:rPr>
          <w:rFonts w:ascii="Arial" w:cs="Arial" w:eastAsia="Arial" w:hAnsi="Arial"/>
          <w:sz w:val="19"/>
          <w:szCs w:val="19"/>
          <w:color w:val="auto"/>
        </w:rPr>
        <w:t xml:space="preserve"> </w:t>
      </w:r>
      <w:r>
        <w:rPr>
          <w:rFonts w:ascii="Arial" w:cs="Arial" w:eastAsia="Arial" w:hAnsi="Arial"/>
          <w:sz w:val="19"/>
          <w:szCs w:val="19"/>
          <w:b w:val="1"/>
          <w:bCs w:val="1"/>
          <w:color w:val="auto"/>
        </w:rPr>
        <w:t>such Notes prior to the Withdrawal Deadline), or who tenders Notes following the date hereof, may not receive payment of the Total Tender Offer Consideration (as set forth below) or the Tender Offer Consideration (as set forth below), as applicable, and may be unable to validly withdraw or trade its Notes, in each case for a substantial duration.</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closing of the Merger is subject to the satisfaction or waiver of customary conditions, including the approval or clearance, or the expiration, termination or waiver of the waiting periods under various antitrust laws. Clearance under the antitrust laws of Canada remains outstanding. Notification of the Merger was filed in Canada on February 27, 2020 and, on April 14, 2020, the Canadian Commissioner of Competition issued a Supplementary Information Request seeking additional information with respect to the Merger and the businesses of WESCO and Anixter. Approval or clearance has previously been received under the antitrust laws of the United States, Russia, Turkey, Mexico and Chile.</w:t>
      </w:r>
    </w:p>
    <w:p>
      <w:pPr>
        <w:sectPr>
          <w:pgSz w:w="11900" w:h="16838" w:orient="portrait"/>
          <w:cols w:equalWidth="0" w:num="1">
            <w:col w:w="11240"/>
          </w:cols>
          <w:pgMar w:left="320" w:top="1440" w:right="339" w:bottom="1440" w:gutter="0" w:footer="0" w:header="0"/>
        </w:sectPr>
      </w:pPr>
    </w:p>
    <w:bookmarkStart w:id="4" w:name="page5"/>
    <w:bookmarkEnd w:id="4"/>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Offers are made pursuant to the Offer to Purchase and Consent Solicitation Statement, dated April 30, 2020 (the “Offer to Purchase”), which sets forth a more detailed description of the Offers.</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On May 14, 2020, WESCO entered into supplemental indentures contemplated by the Offer to Purchase for each Series of Notes, and, as a result, (i) WESCO is no longer accepting consents with the tender of any Series of Notes and therefore Holders of such Series of Notes will no longer be deemed to have consented upon tendering, and (ii) Anixter is no longer accepting consents delivered pursuant to its expired consent solicitation. Such supplemental indentures will only become operative, and thereby apply to all Notes of such Series remaining outstanding, immediately prior to the consummation of the Merger.</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Offers</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of 5:00 p.m., New York City time, on May 28, 2020, the following principal amounts of 2023 Notes and 2025 Notes were validly tendered and not validly withdrawn:</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199"/>
        </w:trPr>
        <w:tc>
          <w:tcPr>
            <w:tcW w:w="15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Title of Security</w:t>
            </w:r>
          </w:p>
        </w:tc>
        <w:tc>
          <w:tcPr>
            <w:tcW w:w="154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CUSIP Numbers</w:t>
            </w: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Principal Amount</w:t>
            </w: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Percentage Tendered</w:t>
            </w:r>
          </w:p>
        </w:tc>
        <w:tc>
          <w:tcPr>
            <w:tcW w:w="1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Tender Offer</w:t>
            </w:r>
          </w:p>
        </w:tc>
        <w:tc>
          <w:tcPr>
            <w:tcW w:w="1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Early Tender</w:t>
            </w:r>
          </w:p>
        </w:tc>
        <w:tc>
          <w:tcPr>
            <w:tcW w:w="1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Total Tender Offer</w:t>
            </w:r>
          </w:p>
        </w:tc>
      </w:tr>
      <w:tr>
        <w:trPr>
          <w:trHeight w:val="162"/>
        </w:trPr>
        <w:tc>
          <w:tcPr>
            <w:tcW w:w="1560" w:type="dxa"/>
            <w:vAlign w:val="bottom"/>
            <w:tcBorders>
              <w:left w:val="single" w:sz="8" w:color="auto"/>
              <w:right w:val="single" w:sz="8" w:color="auto"/>
            </w:tcBorders>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Tendered</w:t>
            </w:r>
          </w:p>
        </w:tc>
        <w:tc>
          <w:tcPr>
            <w:tcW w:w="154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4"/>
                <w:szCs w:val="14"/>
                <w:color w:val="auto"/>
                <w:w w:val="98"/>
              </w:rPr>
              <w:t>Consideration</w:t>
            </w:r>
            <w:r>
              <w:rPr>
                <w:rFonts w:ascii="Arial" w:cs="Arial" w:eastAsia="Arial" w:hAnsi="Arial"/>
                <w:sz w:val="18"/>
                <w:szCs w:val="18"/>
                <w:color w:val="auto"/>
                <w:w w:val="98"/>
                <w:vertAlign w:val="superscript"/>
              </w:rPr>
              <w:t>(1)</w:t>
            </w:r>
          </w:p>
        </w:tc>
        <w:tc>
          <w:tcPr>
            <w:tcW w:w="15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4"/>
                <w:szCs w:val="14"/>
                <w:color w:val="auto"/>
                <w:w w:val="94"/>
              </w:rPr>
              <w:t>Payment</w:t>
            </w:r>
            <w:r>
              <w:rPr>
                <w:rFonts w:ascii="Arial" w:cs="Arial" w:eastAsia="Arial" w:hAnsi="Arial"/>
                <w:sz w:val="18"/>
                <w:szCs w:val="18"/>
                <w:color w:val="auto"/>
                <w:w w:val="94"/>
                <w:vertAlign w:val="superscript"/>
              </w:rPr>
              <w:t>(1)(3)</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Consideration</w:t>
            </w:r>
          </w:p>
        </w:tc>
      </w:tr>
      <w:tr>
        <w:trPr>
          <w:trHeight w:val="119"/>
        </w:trPr>
        <w:tc>
          <w:tcPr>
            <w:tcW w:w="1560" w:type="dxa"/>
            <w:vAlign w:val="bottom"/>
            <w:tcBorders>
              <w:left w:val="single" w:sz="8" w:color="auto"/>
              <w:bottom w:val="single" w:sz="8" w:color="auto"/>
              <w:right w:val="single" w:sz="8" w:color="auto"/>
            </w:tcBorders>
          </w:tcPr>
          <w:p>
            <w:pPr>
              <w:spacing w:after="0"/>
              <w:rPr>
                <w:sz w:val="10"/>
                <w:szCs w:val="10"/>
                <w:color w:val="auto"/>
              </w:rPr>
            </w:pPr>
          </w:p>
        </w:tc>
        <w:tc>
          <w:tcPr>
            <w:tcW w:w="1540" w:type="dxa"/>
            <w:vAlign w:val="bottom"/>
            <w:tcBorders>
              <w:bottom w:val="single" w:sz="8" w:color="auto"/>
              <w:right w:val="single" w:sz="8" w:color="auto"/>
            </w:tcBorders>
          </w:tcPr>
          <w:p>
            <w:pPr>
              <w:spacing w:after="0"/>
              <w:rPr>
                <w:sz w:val="10"/>
                <w:szCs w:val="10"/>
                <w:color w:val="auto"/>
              </w:rPr>
            </w:pPr>
          </w:p>
        </w:tc>
        <w:tc>
          <w:tcPr>
            <w:tcW w:w="1540" w:type="dxa"/>
            <w:vAlign w:val="bottom"/>
            <w:tcBorders>
              <w:bottom w:val="single" w:sz="8" w:color="auto"/>
              <w:right w:val="single" w:sz="8" w:color="auto"/>
            </w:tcBorders>
          </w:tcPr>
          <w:p>
            <w:pPr>
              <w:spacing w:after="0"/>
              <w:rPr>
                <w:sz w:val="10"/>
                <w:szCs w:val="10"/>
                <w:color w:val="auto"/>
              </w:rPr>
            </w:pPr>
          </w:p>
        </w:tc>
        <w:tc>
          <w:tcPr>
            <w:tcW w:w="154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1500" w:type="dxa"/>
            <w:vAlign w:val="bottom"/>
            <w:tcBorders>
              <w:bottom w:val="single" w:sz="8" w:color="auto"/>
              <w:right w:val="single" w:sz="8" w:color="auto"/>
            </w:tcBorders>
          </w:tcPr>
          <w:p>
            <w:pPr>
              <w:spacing w:after="0"/>
              <w:rPr>
                <w:sz w:val="10"/>
                <w:szCs w:val="10"/>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9"/>
                <w:szCs w:val="9"/>
                <w:color w:val="auto"/>
              </w:rPr>
              <w:t>(1)(2)</w:t>
            </w:r>
          </w:p>
        </w:tc>
      </w:tr>
      <w:tr>
        <w:trPr>
          <w:trHeight w:val="194"/>
        </w:trPr>
        <w:tc>
          <w:tcPr>
            <w:tcW w:w="1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5.50% Senior Notes</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035287AG6</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$291,356,000</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83.24%</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$962.50</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$50.00</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$1,012.50</w:t>
            </w:r>
          </w:p>
        </w:tc>
      </w:tr>
      <w:tr>
        <w:trPr>
          <w:trHeight w:val="172"/>
        </w:trPr>
        <w:tc>
          <w:tcPr>
            <w:tcW w:w="1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due 2023</w:t>
            </w:r>
          </w:p>
        </w:tc>
        <w:tc>
          <w:tcPr>
            <w:tcW w:w="154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r>
      <w:tr>
        <w:trPr>
          <w:trHeight w:val="206"/>
        </w:trPr>
        <w:tc>
          <w:tcPr>
            <w:tcW w:w="1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6.00% Senior Notes</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035287AJ0</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$245,827,000</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98.33%</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$962.50</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$50.00</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$1,012.50</w:t>
            </w:r>
          </w:p>
        </w:tc>
      </w:tr>
      <w:tr>
        <w:trPr>
          <w:trHeight w:val="178"/>
        </w:trPr>
        <w:tc>
          <w:tcPr>
            <w:tcW w:w="1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due 2025</w:t>
            </w:r>
          </w:p>
        </w:tc>
        <w:tc>
          <w:tcPr>
            <w:tcW w:w="1540" w:type="dxa"/>
            <w:vAlign w:val="bottom"/>
            <w:tcBorders>
              <w:bottom w:val="single" w:sz="8" w:color="auto"/>
              <w:right w:val="single" w:sz="8" w:color="auto"/>
            </w:tcBorders>
          </w:tcPr>
          <w:p>
            <w:pPr>
              <w:spacing w:after="0"/>
              <w:rPr>
                <w:sz w:val="15"/>
                <w:szCs w:val="15"/>
                <w:color w:val="auto"/>
              </w:rPr>
            </w:pPr>
          </w:p>
        </w:tc>
        <w:tc>
          <w:tcPr>
            <w:tcW w:w="1540" w:type="dxa"/>
            <w:vAlign w:val="bottom"/>
            <w:tcBorders>
              <w:bottom w:val="single" w:sz="8" w:color="auto"/>
              <w:right w:val="single" w:sz="8" w:color="auto"/>
            </w:tcBorders>
          </w:tcPr>
          <w:p>
            <w:pPr>
              <w:spacing w:after="0"/>
              <w:rPr>
                <w:sz w:val="15"/>
                <w:szCs w:val="15"/>
                <w:color w:val="auto"/>
              </w:rPr>
            </w:pPr>
          </w:p>
        </w:tc>
        <w:tc>
          <w:tcPr>
            <w:tcW w:w="154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spacing w:after="0"/>
              <w:rPr>
                <w:sz w:val="15"/>
                <w:szCs w:val="15"/>
                <w:color w:val="auto"/>
              </w:rPr>
            </w:pPr>
          </w:p>
        </w:tc>
        <w:tc>
          <w:tcPr>
            <w:tcW w:w="1500" w:type="dxa"/>
            <w:vAlign w:val="bottom"/>
            <w:tcBorders>
              <w:bottom w:val="single" w:sz="8" w:color="auto"/>
              <w:right w:val="single" w:sz="8" w:color="auto"/>
            </w:tcBorders>
          </w:tcPr>
          <w:p>
            <w:pPr>
              <w:spacing w:after="0"/>
              <w:rPr>
                <w:sz w:val="15"/>
                <w:szCs w:val="15"/>
                <w:color w:val="auto"/>
              </w:rPr>
            </w:pPr>
          </w:p>
        </w:tc>
        <w:tc>
          <w:tcPr>
            <w:tcW w:w="1500" w:type="dxa"/>
            <w:vAlign w:val="bottom"/>
            <w:tcBorders>
              <w:bottom w:val="single" w:sz="8" w:color="auto"/>
              <w:right w:val="single" w:sz="8" w:color="auto"/>
            </w:tcBorders>
          </w:tcPr>
          <w:p>
            <w:pPr>
              <w:spacing w:after="0"/>
              <w:rPr>
                <w:sz w:val="15"/>
                <w:szCs w:val="15"/>
                <w:color w:val="auto"/>
              </w:rPr>
            </w:pPr>
          </w:p>
        </w:tc>
      </w:tr>
    </w:tbl>
    <w:p>
      <w:pPr>
        <w:spacing w:after="0" w:line="302" w:lineRule="exact"/>
        <w:rPr>
          <w:sz w:val="20"/>
          <w:szCs w:val="20"/>
          <w:color w:val="auto"/>
        </w:rPr>
      </w:pPr>
    </w:p>
    <w:p>
      <w:pPr>
        <w:ind w:left="560" w:hanging="228"/>
        <w:spacing w:after="0"/>
        <w:tabs>
          <w:tab w:leader="none" w:pos="560" w:val="left"/>
        </w:tabs>
        <w:numPr>
          <w:ilvl w:val="0"/>
          <w:numId w:val="3"/>
        </w:numPr>
        <w:rPr>
          <w:rFonts w:ascii="Arial" w:cs="Arial" w:eastAsia="Arial" w:hAnsi="Arial"/>
          <w:sz w:val="14"/>
          <w:szCs w:val="14"/>
          <w:color w:val="auto"/>
        </w:rPr>
      </w:pPr>
      <w:r>
        <w:rPr>
          <w:rFonts w:ascii="Arial" w:cs="Arial" w:eastAsia="Arial" w:hAnsi="Arial"/>
          <w:sz w:val="14"/>
          <w:szCs w:val="14"/>
          <w:color w:val="auto"/>
        </w:rPr>
        <w:t>Per $1,000 principal amount of Notes that are accepted for purchase.</w:t>
      </w:r>
    </w:p>
    <w:p>
      <w:pPr>
        <w:spacing w:after="0" w:line="82" w:lineRule="exact"/>
        <w:rPr>
          <w:rFonts w:ascii="Arial" w:cs="Arial" w:eastAsia="Arial" w:hAnsi="Arial"/>
          <w:sz w:val="14"/>
          <w:szCs w:val="14"/>
          <w:color w:val="auto"/>
        </w:rPr>
      </w:pPr>
    </w:p>
    <w:p>
      <w:pPr>
        <w:ind w:left="560" w:hanging="228"/>
        <w:spacing w:after="0"/>
        <w:tabs>
          <w:tab w:leader="none" w:pos="5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Total Tender Offer Consideration consists of the Tender Offer Consideration and the Early Tender Payment.</w:t>
      </w:r>
    </w:p>
    <w:p>
      <w:pPr>
        <w:spacing w:after="0" w:line="82" w:lineRule="exact"/>
        <w:rPr>
          <w:rFonts w:ascii="Arial" w:cs="Arial" w:eastAsia="Arial" w:hAnsi="Arial"/>
          <w:sz w:val="14"/>
          <w:szCs w:val="14"/>
          <w:color w:val="auto"/>
        </w:rPr>
      </w:pPr>
    </w:p>
    <w:p>
      <w:pPr>
        <w:ind w:left="740" w:right="200" w:hanging="408"/>
        <w:spacing w:after="0" w:line="298" w:lineRule="auto"/>
        <w:tabs>
          <w:tab w:leader="none" w:pos="571" w:val="left"/>
        </w:tabs>
        <w:numPr>
          <w:ilvl w:val="0"/>
          <w:numId w:val="3"/>
        </w:numPr>
        <w:rPr>
          <w:rFonts w:ascii="Arial" w:cs="Arial" w:eastAsia="Arial" w:hAnsi="Arial"/>
          <w:sz w:val="14"/>
          <w:szCs w:val="14"/>
          <w:color w:val="auto"/>
        </w:rPr>
      </w:pPr>
      <w:r>
        <w:rPr>
          <w:rFonts w:ascii="Arial" w:cs="Arial" w:eastAsia="Arial" w:hAnsi="Arial"/>
          <w:sz w:val="14"/>
          <w:szCs w:val="14"/>
          <w:color w:val="auto"/>
        </w:rPr>
        <w:t>Payable, subject to the terms and conditions described in the Offer to Purchase, only to Holders who validly tendered (and did not validly withdraw) Notes prior to the Early Tender Deadline (as defined below).</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Holders may no longer withdraw any 2023 Notes or 2025 Notes previously or hereafter validly tendered.</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Only Notes that were validly tendered (and not validly withdrawn) at or prior to 5:00 p.m., New York City time, on May 13, 2020 (the “Early Tender Deadline”) and accepted by WESCO for purchase will receive the applicable Total Tender Offer Consideration, which includes an Early Tender Payment (as set forth above). Notes that are validly tendered (and not validly withdrawn) after the Early Tender Deadline and on or prior to the Expiration Time and accepted by WESCO for purchase will receive only the applicable Tender Offer Consideration.</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Payment for Notes accepted by WESCO for purchase will include accrued and unpaid interest from the last payment date applicable to the Notes up to, but excluding, the settlement date for the Offers (“Accrued Interest”).</w:t>
      </w:r>
    </w:p>
    <w:p>
      <w:pPr>
        <w:spacing w:after="0" w:line="17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obligation to accept for purchase and to pay (or cause to be paid) the Total Tender Offer Consideration or the Tender Offer Consideration, as applicable, for any and all Notes validly tendered and not validly withdrawn pursuant to each of the Offers is conditioned on the satisfaction of certain conditions that may be waived by WESCO if they are not satisfied, as more fully described in the Offer to Purchase. WESCO reserves the right in its sole discretion, subject to applicable law, to terminate any Offer if the conditions to such Offer have become incapable of being satisfied at the Expiration Time.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Information</w:t>
      </w:r>
    </w:p>
    <w:p>
      <w:pPr>
        <w:spacing w:after="0" w:line="2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Offers, with respect to one or both Series of Notes, may be terminated or withdrawn at any time and for any reason, including if certain conditions described in the Offer to Purchase are not satisfied, subject to applicable law. WESCO is making the Offers only by, and pursuant to, the terms of the Offer to Purchase. None of WESCO, WESCO International, Anixter, Anixter International, the Dealer Manager (as defined below), the trustee under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type w:val="continuous"/>
        </w:sectPr>
      </w:pPr>
    </w:p>
    <w:bookmarkStart w:id="5" w:name="page6"/>
    <w:bookmarkEnd w:id="5"/>
    <w:p>
      <w:pPr>
        <w:spacing w:after="0" w:line="19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each indenture establishing the 2023 Notes and 2025 Notes, the Tender and Information Agent (as defined below), nor any of their respective affiliates, makes any recommendation as to whether or not Holders of the Notes should tender or refrain from tendering their Notes with regard to the Offers.</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This announcement does not constitute an offer to sell any securities or the solicitation of an offer to purchase any securities. The Offers are being made only pursuant to the Offer to Purchase. The Offers are not being made to Holders of Notes in any jurisdiction in which the making or acceptance thereof would not be in compliance with the securities, blue sky or other laws of such jurisdiction. In any jurisdiction in which the securities laws or blue sky laws require the Offers to be made by a licensed broker or dealer, the Offers will be deemed to be made on behalf of WESCO by one or more registered brokers or dealers that are licensed under the laws of such jurisdiction.</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Barclays Capital Inc. is acting as dealer manager and solicitation agent (the “Dealer Manager”) for the Offers. D.F. King &amp; Co., Inc. is acting as the tender agent and information agent (the “Tender and Information Agent”) for the Offers.</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Requests for the Offer to Purchase may be directed to D.F. King &amp; Co., Inc. at (212) 269-5550 (for brokers and banks) or (877) 361-7966 (for all others) or email anixter@dfking.com.</w:t>
      </w:r>
    </w:p>
    <w:p>
      <w:pPr>
        <w:spacing w:after="0" w:line="177"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Questions or requests for assistance in relation to the Offers may be directed to Barclays Capital Inc. at (212) 528-7581 (collect) or (800) 438-3242 (toll-free).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WESCO</w:t>
      </w:r>
    </w:p>
    <w:p>
      <w:pPr>
        <w:spacing w:after="0" w:line="226" w:lineRule="exact"/>
        <w:rPr>
          <w:sz w:val="20"/>
          <w:szCs w:val="20"/>
          <w:color w:val="auto"/>
        </w:rPr>
      </w:pPr>
    </w:p>
    <w:p>
      <w:pPr>
        <w:jc w:val="both"/>
        <w:spacing w:after="0"/>
        <w:rPr>
          <w:sz w:val="20"/>
          <w:szCs w:val="20"/>
          <w:color w:val="auto"/>
        </w:rPr>
      </w:pPr>
      <w:r>
        <w:rPr>
          <w:rFonts w:ascii="Arial" w:cs="Arial" w:eastAsia="Arial" w:hAnsi="Arial"/>
          <w:sz w:val="20"/>
          <w:szCs w:val="20"/>
          <w:color w:val="auto"/>
        </w:rPr>
        <w:t>WESCO International, Inc. (NYSE: WCC), a publicly traded FORTUNE 500</w:t>
      </w:r>
      <w:r>
        <w:rPr>
          <w:rFonts w:ascii="Arial" w:cs="Arial" w:eastAsia="Arial" w:hAnsi="Arial"/>
          <w:sz w:val="12"/>
          <w:szCs w:val="12"/>
          <w:color w:val="auto"/>
        </w:rPr>
        <w:t>®</w:t>
      </w:r>
      <w:r>
        <w:rPr>
          <w:rFonts w:ascii="Arial" w:cs="Arial" w:eastAsia="Arial" w:hAnsi="Arial"/>
          <w:sz w:val="20"/>
          <w:szCs w:val="20"/>
          <w:color w:val="auto"/>
        </w:rPr>
        <w:t xml:space="preserve"> holding company headquartered in Pittsburgh, Pennsylvania, is a leading provider of electrical, industrial, and communications maintenance, repair and operating (MRO) and original equipment manufacturer (OEM) products, construction materials, and advanced supply chain management and logistic services. 2019 annual sales were approximately $8.4 billion. The company employs approximately 9,500 people, maintains relationships with approximately 30,000 suppliers, and serves approximately 70,000 active customers worldwide. Customers include commercial and industrial businesses, contractors, government agencies, institutions, telecommunications providers, and utilities. WESCO operates 11 fully automated distribution centers and approximately 500 branches in North America and international markets, providing a local presence for customers and a global network to serve multi-location businesses and multi-national corporations.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Anixter</w:t>
      </w:r>
    </w:p>
    <w:p>
      <w:pPr>
        <w:spacing w:after="0" w:line="226" w:lineRule="exact"/>
        <w:rPr>
          <w:sz w:val="20"/>
          <w:szCs w:val="20"/>
          <w:color w:val="auto"/>
        </w:rPr>
      </w:pPr>
    </w:p>
    <w:p>
      <w:pPr>
        <w:jc w:val="both"/>
        <w:spacing w:after="0"/>
        <w:rPr>
          <w:sz w:val="20"/>
          <w:szCs w:val="20"/>
          <w:color w:val="auto"/>
        </w:rPr>
      </w:pPr>
      <w:r>
        <w:rPr>
          <w:rFonts w:ascii="Arial" w:cs="Arial" w:eastAsia="Arial" w:hAnsi="Arial"/>
          <w:sz w:val="20"/>
          <w:szCs w:val="20"/>
          <w:color w:val="auto"/>
        </w:rPr>
        <w:t>Anixter International is a leading global distributor of Network &amp; Security Solutions, Electrical &amp; Electronic Solutions and Utility Power Solutions. The company helps build, connect, protect, and power valuable assets and critical infrastructures. From enterprise networks to industrial MRO supply to video surveillance applications to electric power distribution, Anixter International offers full-line solutions, and intelligence, that create reliable, resilient systems that sustain businesses and communities. Through Anixter International's unmatched global distribution network along with its supply chain and technical expertise, the company helps lower the cost, risk and complexity of its customers' supply chains.</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Anixter International adds value to the distribution process by providing over 100,000 customers access to 1) innovative supply chain solutions, 2) nearly 600,000 products and over $ 1.0 billion in inventory, 3) over 300 warehouses/branch locations with over 9 million square feet of space and 4) locations in over 300 cities in approximately 50 countries. Founded in 1957 and headquartered near Chicago, Anixter International trades on the New York Stock Exchange under the symbol AXE.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13"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All statements made herein that are not historical facts should be considered as forward-looking statements within the meaning of the Private Securities Litigation Reform Act of 1995. Such statements involve known and unknown risks, uncertainties and other factors that may cause actual results to differ materially. These statements include, but are not limited to, statements regarding the expected completion and timing of the proposed transaction between WESCO International and Anixter International, expected benefits and costs of the proposed transaction, and management plans relating to the proposed transaction, statements that address each company’s expected future business and financial performance, statements regarding the impact of natural disasters, health epidemics and other outbreaks, especially the outbreak of COVID-19 since December 2019, which may have a material adverse effect on each company’s business, results of operations and financial conditions, and other statements identified by words such as anticipate, plan, believe, estimate, intend, expect, project, will and similar words, phrases or expressions. These forward-looking statements are based on current expectations and beliefs of the management of WESCO International and Anixter International (as the case may be), as well as assumptions made by, and information currently available to, such management, current market trends and market conditions, and involve risks and uncertainties, many of which are outside of each company’s and each company’s management’s control, and which may cause actual results to differ materially from those contained in forward-looking statements. Accordingly, you should not place undue reliance on such statements. Certain of these risks are set forth in WESCO International’s Annual Report on Form 10-K for the fiscal year ended December 31, 2019 and Anixter International’s Annual Report on Form 10-K for the fiscal year ended January 3, 2020, as applicable, as well as each company’s other reports filed with the U.S. Securities and Exchange Commission (the “SEC”).</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Those risks, uncertainties and assumptions also include the timing, receipt and terms and conditions of any required governmental and regulatory approvals of the proposed transaction between WESCO International and Anixter International that could reduce anticipated benefits or cause the parties to abandon the proposed transaction, the occurrence of any event, change or other circumstances that could give rise to the termination of the merger agreement, the risk that the parties may not be able to satisfy the conditions to the proposed transaction in a timely manner or at all, risks related to disruption of management time from ongoing business operations due to the proposed transaction, the risk that any announcements relating to the proposed transaction could have adverse effects on the market price of WESCO International’s common stock, the risk of any unexpected costs or expenses resulting from the proposed transaction, the risk of any litigation relating to the proposed transaction, the risk that the proposed transaction and its announcement could have an adverse effect on the ability of WESCO International or Anixter International to retain customers and retain and hire key personnel and maintain relationships with their suppliers, customers and other business relationships and on their operating results and businesses generally, the risk that the pending proposed transaction could distract management of both entities and they will incur substantial costs, the risk that problems may arise in successfully integrating the businesses of the companies, which may result in the combined company not operating as effectively and efficiently as expected, the risk that the combined company may be unable to achieve synergies or other anticipated benefits of the proposed transaction or it may take longer than expected to achieve those synergies or benefits and other important factors that could cause actual results to differ materially from those projected. All such factors are difficult to predict and are beyond each company’s control.</w:t>
      </w:r>
    </w:p>
    <w:p>
      <w:pPr>
        <w:spacing w:after="0" w:line="21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Additional factors that could cause results to differ materially from those described above can be found in WESCO International’s Annual Report on Form 10-K for the fiscal year ended December 31, 2019 and Anixter International’s Annual Report on Form 10-K for the fiscal year ended January 3, 2020, as applicable, as well as in each company’s other reports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2020-05-29T05:55:50Z</dcterms:created>
  <dcterms:modified xsi:type="dcterms:W3CDTF">2020-05-29T05:55:50Z</dcterms:modified>
</cp:coreProperties>
</file>