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ownership.xml.htm"/>
      <w:bookmarkStart w:id="1" w:name="ksownership"/>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92"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2"/>
        <w:gridCol w:w="3572"/>
        <w:gridCol w:w="3061"/>
      </w:tblGrid>
      <w:tr>
        <w:trPr/>
        <w:tc>
          <w:tcPr>
            <w:tcW w:w="3572"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2"/>
            </w:tblGrid>
            <w:tr>
              <w:trPr/>
              <w:tc>
                <w:tcPr>
                  <w:tcW w:w="3452" w:type="dxa"/>
                  <w:tcBorders/>
                  <w:vAlign w:val="center"/>
                </w:tcPr>
                <w:p>
                  <w:pPr>
                    <w:pStyle w:val="TableContents"/>
                    <w:bidi w:val="0"/>
                    <w:spacing w:before="0" w:after="283"/>
                    <w:jc w:val="left"/>
                    <w:rPr/>
                  </w:pPr>
                  <w:hyperlink r:id="rId4">
                    <w:r>
                      <w:rPr>
                        <w:rStyle w:val="InternetLink"/>
                      </w:rPr>
                      <w:t>Thompson Laura K</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1"/>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2"/>
            </w:tblGrid>
            <w:tr>
              <w:trPr/>
              <w:tc>
                <w:tcPr>
                  <w:tcW w:w="345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225 WEST STATION SQUARE DRIVE</w:t>
                  </w:r>
                </w:p>
              </w:tc>
            </w:tr>
            <w:tr>
              <w:trPr/>
              <w:tc>
                <w:tcPr>
                  <w:tcW w:w="345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SUITE 700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50"/>
              <w:gridCol w:w="1151"/>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PITTSBURGH</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PA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15219</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1"/>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WESCO INTERNATIONAL INC</w:t>
              </w:r>
            </w:hyperlink>
            <w:r>
              <w:rPr/>
              <w:t xml:space="preserve"> [ </w:t>
            </w:r>
            <w:r>
              <w:rPr>
                <w:rFonts w:ascii="Times;serif" w:hAnsi="Times;serif"/>
                <w:color w:val="0000FF"/>
                <w:sz w:val="24"/>
                <w:shd w:fill="FFFFFF" w:val="clear"/>
              </w:rPr>
              <w:t>WCC</w:t>
            </w:r>
            <w:r>
              <w:rPr/>
              <w:t xml:space="preserve"> ] </w:t>
            </w:r>
          </w:p>
        </w:tc>
        <w:tc>
          <w:tcPr>
            <w:tcW w:w="3061"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40"/>
              <w:gridCol w:w="1030"/>
              <w:gridCol w:w="441"/>
              <w:gridCol w:w="1030"/>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1"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2"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03/31/2026</w:t>
            </w:r>
            <w:r>
              <w:rPr/>
              <w:t xml:space="preserve"> </w:t>
            </w:r>
          </w:p>
        </w:tc>
        <w:tc>
          <w:tcPr>
            <w:tcW w:w="3061"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2"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1"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291"/>
        <w:gridCol w:w="904"/>
        <w:gridCol w:w="774"/>
        <w:gridCol w:w="600"/>
        <w:gridCol w:w="346"/>
        <w:gridCol w:w="880"/>
        <w:gridCol w:w="446"/>
        <w:gridCol w:w="609"/>
        <w:gridCol w:w="1445"/>
        <w:gridCol w:w="988"/>
        <w:gridCol w:w="922"/>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291"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6"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1935"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44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88"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29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8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4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0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44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88"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291"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03/31/2026</w:t>
            </w:r>
          </w:p>
        </w:tc>
        <w:tc>
          <w:tcPr>
            <w:tcW w:w="77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8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3.118</w:t>
            </w:r>
            <w:r>
              <w:rPr>
                <w:rFonts w:ascii="Times;serif" w:hAnsi="Times;serif"/>
                <w:color w:val="008000"/>
                <w:position w:val="7"/>
                <w:sz w:val="16"/>
                <w:sz w:val="20"/>
                <w:shd w:fill="FFFFFF" w:val="clear"/>
              </w:rPr>
              <w:t>(1)</w:t>
            </w:r>
            <w:r>
              <w:rPr/>
              <w:t xml:space="preserve"> </w:t>
            </w:r>
          </w:p>
        </w:tc>
        <w:tc>
          <w:tcPr>
            <w:tcW w:w="44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60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w:t>
            </w:r>
            <w:r>
              <w:rPr/>
              <w:t xml:space="preserve"> </w:t>
            </w:r>
          </w:p>
        </w:tc>
        <w:tc>
          <w:tcPr>
            <w:tcW w:w="144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10,987.4136</w:t>
            </w:r>
          </w:p>
        </w:tc>
        <w:tc>
          <w:tcPr>
            <w:tcW w:w="98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Represents dividend equivalent rights ("DERs") in connection with the Issuer's quarterly dividend and accrued to the Reporting Person on restricted stock units ("RSUs") held by the Reporting Person. Each DER is the economic equivalent of one share of Issuer's common stock and vests on the same schedule as the underlying award.</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Michele Nelson, as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04/02/2026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589405" TargetMode="External"/><Relationship Id="rId5" Type="http://schemas.openxmlformats.org/officeDocument/2006/relationships/hyperlink" Target="http://www.sec.gov/cgi-bin/browse-edgar?action=getcompany&amp;CIK=0000929008"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613</Words>
  <Characters>3335</Characters>
  <CharactersWithSpaces>3889</CharactersWithSpaces>
  <Paragraphs>95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