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8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425450</wp:posOffset>
            </wp:positionH>
            <wp:positionV relativeFrom="page">
              <wp:posOffset>460375</wp:posOffset>
            </wp:positionV>
            <wp:extent cx="66979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7980" cy="5715"/>
                    </a:xfrm>
                    <a:prstGeom prst="rect">
                      <a:avLst/>
                    </a:prstGeom>
                    <a:noFill/>
                  </pic:spPr>
                </pic:pic>
              </a:graphicData>
            </a:graphic>
          </wp:anchor>
        </w:drawing>
        <w:drawing>
          <wp:anchor simplePos="0" relativeHeight="251657728" behindDoc="1" locked="0" layoutInCell="0" allowOverlap="1">
            <wp:simplePos x="0" y="0"/>
            <wp:positionH relativeFrom="page">
              <wp:posOffset>425450</wp:posOffset>
            </wp:positionH>
            <wp:positionV relativeFrom="page">
              <wp:posOffset>477520</wp:posOffset>
            </wp:positionV>
            <wp:extent cx="66979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7980" cy="5715"/>
                    </a:xfrm>
                    <a:prstGeom prst="rect">
                      <a:avLst/>
                    </a:prstGeom>
                    <a:noFill/>
                  </pic:spPr>
                </pic:pic>
              </a:graphicData>
            </a:graphic>
          </wp:anchor>
        </w:drawing>
        <w:t>UNITED STATES</w:t>
      </w:r>
    </w:p>
    <w:p>
      <w:pPr>
        <w:spacing w:after="0" w:line="29" w:lineRule="exact"/>
        <w:rPr>
          <w:sz w:val="24"/>
          <w:szCs w:val="24"/>
          <w:color w:val="auto"/>
        </w:rPr>
      </w:pPr>
    </w:p>
    <w:p>
      <w:pPr>
        <w:ind w:left="4108"/>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8"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3"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8"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72"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2"/>
          <w:szCs w:val="12"/>
          <w:color w:val="auto"/>
        </w:rPr>
        <w:t>Date of Report (Date of earliest event reported): September 26, 2024</w:t>
      </w:r>
    </w:p>
    <w:p>
      <w:pPr>
        <w:spacing w:after="0" w:line="156"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22"/>
          <w:szCs w:val="22"/>
          <w:b w:val="1"/>
          <w:bCs w:val="1"/>
          <w:color w:val="auto"/>
        </w:rPr>
        <w:t>WESCO International, Inc.</w:t>
      </w:r>
    </w:p>
    <w:p>
      <w:pPr>
        <w:spacing w:after="0" w:line="15"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p>
    <w:tbl>
      <w:tblPr>
        <w:tblLayout w:type="fixed"/>
        <w:tblInd w:w="1528" w:type="dxa"/>
        <w:tblCellMar>
          <w:top w:w="0" w:type="dxa"/>
          <w:left w:w="0" w:type="dxa"/>
          <w:bottom w:w="0" w:type="dxa"/>
          <w:right w:w="0" w:type="dxa"/>
        </w:tblCellMar>
      </w:tblPr>
      <w:tr>
        <w:trPr>
          <w:trHeight w:val="159"/>
        </w:trPr>
        <w:tc>
          <w:tcPr>
            <w:tcW w:w="2260" w:type="dxa"/>
            <w:vAlign w:val="bottom"/>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3960" w:type="dxa"/>
            <w:vAlign w:val="bottom"/>
          </w:tcPr>
          <w:p>
            <w:pPr>
              <w:jc w:val="right"/>
              <w:ind w:right="1784"/>
              <w:spacing w:after="0"/>
              <w:rPr>
                <w:sz w:val="20"/>
                <w:szCs w:val="20"/>
                <w:color w:val="auto"/>
              </w:rPr>
            </w:pPr>
            <w:r>
              <w:rPr>
                <w:rFonts w:ascii="Times New Roman" w:cs="Times New Roman" w:eastAsia="Times New Roman" w:hAnsi="Times New Roman"/>
                <w:sz w:val="12"/>
                <w:szCs w:val="12"/>
                <w:b w:val="1"/>
                <w:bCs w:val="1"/>
                <w:color w:val="auto"/>
              </w:rPr>
              <w:t>001-14989</w:t>
            </w:r>
          </w:p>
        </w:tc>
        <w:tc>
          <w:tcPr>
            <w:tcW w:w="1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25-1723342</w:t>
            </w:r>
          </w:p>
        </w:tc>
        <w:tc>
          <w:tcPr>
            <w:tcW w:w="0" w:type="dxa"/>
            <w:vAlign w:val="bottom"/>
          </w:tcPr>
          <w:p>
            <w:pPr>
              <w:spacing w:after="0"/>
              <w:rPr>
                <w:sz w:val="1"/>
                <w:szCs w:val="1"/>
                <w:color w:val="auto"/>
              </w:rPr>
            </w:pPr>
          </w:p>
        </w:tc>
      </w:tr>
      <w:tr>
        <w:trPr>
          <w:trHeight w:val="108"/>
        </w:trPr>
        <w:tc>
          <w:tcPr>
            <w:tcW w:w="2260" w:type="dxa"/>
            <w:vAlign w:val="bottom"/>
          </w:tcPr>
          <w:p>
            <w:pPr>
              <w:jc w:val="center"/>
              <w:ind w:right="506"/>
              <w:spacing w:after="0" w:line="109" w:lineRule="exact"/>
              <w:rPr>
                <w:sz w:val="20"/>
                <w:szCs w:val="20"/>
                <w:color w:val="auto"/>
              </w:rPr>
            </w:pPr>
            <w:r>
              <w:rPr>
                <w:rFonts w:ascii="Times New Roman" w:cs="Times New Roman" w:eastAsia="Times New Roman" w:hAnsi="Times New Roman"/>
                <w:sz w:val="11"/>
                <w:szCs w:val="11"/>
                <w:color w:val="auto"/>
                <w:w w:val="98"/>
              </w:rPr>
              <w:t>(State or other jurisdiction of</w:t>
            </w:r>
          </w:p>
        </w:tc>
        <w:tc>
          <w:tcPr>
            <w:tcW w:w="3960" w:type="dxa"/>
            <w:vAlign w:val="bottom"/>
          </w:tcPr>
          <w:p>
            <w:pPr>
              <w:jc w:val="center"/>
              <w:ind w:right="184"/>
              <w:spacing w:after="0" w:line="109" w:lineRule="exact"/>
              <w:rPr>
                <w:sz w:val="20"/>
                <w:szCs w:val="20"/>
                <w:color w:val="auto"/>
              </w:rPr>
            </w:pPr>
            <w:r>
              <w:rPr>
                <w:rFonts w:ascii="Times New Roman" w:cs="Times New Roman" w:eastAsia="Times New Roman" w:hAnsi="Times New Roman"/>
                <w:sz w:val="11"/>
                <w:szCs w:val="11"/>
                <w:color w:val="auto"/>
                <w:w w:val="98"/>
              </w:rPr>
              <w:t>(Commission File Number)</w:t>
            </w:r>
          </w:p>
        </w:tc>
        <w:tc>
          <w:tcPr>
            <w:tcW w:w="1580" w:type="dxa"/>
            <w:vAlign w:val="bottom"/>
          </w:tcPr>
          <w:p>
            <w:pPr>
              <w:jc w:val="center"/>
              <w:ind w:left="706"/>
              <w:spacing w:after="0" w:line="109" w:lineRule="exact"/>
              <w:rPr>
                <w:sz w:val="20"/>
                <w:szCs w:val="20"/>
                <w:color w:val="auto"/>
              </w:rPr>
            </w:pPr>
            <w:r>
              <w:rPr>
                <w:rFonts w:ascii="Times New Roman" w:cs="Times New Roman" w:eastAsia="Times New Roman" w:hAnsi="Times New Roman"/>
                <w:sz w:val="11"/>
                <w:szCs w:val="11"/>
                <w:color w:val="auto"/>
                <w:w w:val="98"/>
              </w:rPr>
              <w:t>(IRS Employer</w:t>
            </w:r>
          </w:p>
        </w:tc>
        <w:tc>
          <w:tcPr>
            <w:tcW w:w="0" w:type="dxa"/>
            <w:vAlign w:val="bottom"/>
          </w:tcPr>
          <w:p>
            <w:pPr>
              <w:spacing w:after="0"/>
              <w:rPr>
                <w:sz w:val="1"/>
                <w:szCs w:val="1"/>
                <w:color w:val="auto"/>
              </w:rPr>
            </w:pPr>
          </w:p>
        </w:tc>
      </w:tr>
      <w:tr>
        <w:trPr>
          <w:trHeight w:val="140"/>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color w:val="auto"/>
                <w:w w:val="98"/>
              </w:rPr>
              <w:t>incorporation)</w:t>
            </w:r>
          </w:p>
        </w:tc>
        <w:tc>
          <w:tcPr>
            <w:tcW w:w="3960" w:type="dxa"/>
            <w:vAlign w:val="bottom"/>
          </w:tcPr>
          <w:p>
            <w:pPr>
              <w:spacing w:after="0"/>
              <w:rPr>
                <w:sz w:val="12"/>
                <w:szCs w:val="12"/>
                <w:color w:val="auto"/>
              </w:rPr>
            </w:pPr>
          </w:p>
        </w:tc>
        <w:tc>
          <w:tcPr>
            <w:tcW w:w="1580" w:type="dxa"/>
            <w:vAlign w:val="bottom"/>
          </w:tcPr>
          <w:p>
            <w:pPr>
              <w:jc w:val="center"/>
              <w:ind w:left="726"/>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148"/>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b w:val="1"/>
                <w:bCs w:val="1"/>
                <w:color w:val="auto"/>
                <w:w w:val="98"/>
              </w:rPr>
              <w:t>225 West Station Square Drive</w:t>
            </w:r>
          </w:p>
        </w:tc>
        <w:tc>
          <w:tcPr>
            <w:tcW w:w="3960" w:type="dxa"/>
            <w:vAlign w:val="bottom"/>
          </w:tcPr>
          <w:p>
            <w:pPr>
              <w:spacing w:after="0"/>
              <w:rPr>
                <w:sz w:val="12"/>
                <w:szCs w:val="12"/>
                <w:color w:val="auto"/>
              </w:rPr>
            </w:pPr>
          </w:p>
        </w:tc>
        <w:tc>
          <w:tcPr>
            <w:tcW w:w="15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15219</w:t>
            </w:r>
          </w:p>
        </w:tc>
        <w:tc>
          <w:tcPr>
            <w:tcW w:w="0" w:type="dxa"/>
            <w:vAlign w:val="bottom"/>
          </w:tcPr>
          <w:p>
            <w:pPr>
              <w:spacing w:after="0"/>
              <w:rPr>
                <w:sz w:val="1"/>
                <w:szCs w:val="1"/>
                <w:color w:val="auto"/>
              </w:rPr>
            </w:pPr>
          </w:p>
        </w:tc>
      </w:tr>
      <w:tr>
        <w:trPr>
          <w:trHeight w:val="142"/>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b w:val="1"/>
                <w:bCs w:val="1"/>
                <w:color w:val="auto"/>
                <w:w w:val="97"/>
              </w:rPr>
              <w:t>Suite 700</w:t>
            </w:r>
          </w:p>
        </w:tc>
        <w:tc>
          <w:tcPr>
            <w:tcW w:w="39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Pittsburgh, Pennsylvania</w:t>
            </w:r>
          </w:p>
        </w:tc>
        <w:tc>
          <w:tcPr>
            <w:tcW w:w="3960" w:type="dxa"/>
            <w:vAlign w:val="bottom"/>
          </w:tcPr>
          <w:p>
            <w:pPr>
              <w:spacing w:after="0"/>
              <w:rPr>
                <w:sz w:val="12"/>
                <w:szCs w:val="12"/>
                <w:color w:val="auto"/>
              </w:rPr>
            </w:pPr>
          </w:p>
        </w:tc>
        <w:tc>
          <w:tcPr>
            <w:tcW w:w="1580" w:type="dxa"/>
            <w:vAlign w:val="bottom"/>
          </w:tcPr>
          <w:p>
            <w:pPr>
              <w:jc w:val="center"/>
              <w:ind w:left="726"/>
              <w:spacing w:after="0"/>
              <w:rPr>
                <w:sz w:val="20"/>
                <w:szCs w:val="20"/>
                <w:color w:val="auto"/>
              </w:rPr>
            </w:pPr>
            <w:r>
              <w:rPr>
                <w:rFonts w:ascii="Times New Roman" w:cs="Times New Roman" w:eastAsia="Times New Roman" w:hAnsi="Times New Roman"/>
                <w:sz w:val="11"/>
                <w:szCs w:val="11"/>
                <w:color w:val="auto"/>
                <w:w w:val="98"/>
              </w:rPr>
              <w:t>(Zip Code)</w:t>
            </w:r>
          </w:p>
        </w:tc>
        <w:tc>
          <w:tcPr>
            <w:tcW w:w="0" w:type="dxa"/>
            <w:vAlign w:val="bottom"/>
          </w:tcPr>
          <w:p>
            <w:pPr>
              <w:spacing w:after="0"/>
              <w:rPr>
                <w:sz w:val="1"/>
                <w:szCs w:val="1"/>
                <w:color w:val="auto"/>
              </w:rPr>
            </w:pPr>
          </w:p>
        </w:tc>
      </w:tr>
      <w:tr>
        <w:trPr>
          <w:trHeight w:val="144"/>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3960" w:type="dxa"/>
            <w:vAlign w:val="bottom"/>
          </w:tcPr>
          <w:p>
            <w:pPr>
              <w:jc w:val="right"/>
              <w:ind w:right="1704"/>
              <w:spacing w:after="0"/>
              <w:rPr>
                <w:sz w:val="20"/>
                <w:szCs w:val="20"/>
                <w:color w:val="auto"/>
              </w:rPr>
            </w:pPr>
            <w:r>
              <w:rPr>
                <w:rFonts w:ascii="Times New Roman" w:cs="Times New Roman" w:eastAsia="Times New Roman" w:hAnsi="Times New Roman"/>
                <w:sz w:val="11"/>
                <w:szCs w:val="11"/>
                <w:b w:val="1"/>
                <w:bCs w:val="1"/>
                <w:color w:val="auto"/>
              </w:rPr>
              <w:t>(412) 454-2200</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396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3960" w:type="dxa"/>
            <w:vAlign w:val="bottom"/>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396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9"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88" w:type="dxa"/>
        <w:tblCellMar>
          <w:top w:w="0" w:type="dxa"/>
          <w:left w:w="0" w:type="dxa"/>
          <w:bottom w:w="0" w:type="dxa"/>
          <w:right w:w="0" w:type="dxa"/>
        </w:tblCellMar>
      </w:tblPr>
      <w:tr>
        <w:trPr>
          <w:trHeight w:val="144"/>
        </w:trPr>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Title of Class</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Name of Exchange on which registered</w:t>
            </w:r>
          </w:p>
        </w:tc>
      </w:tr>
      <w:tr>
        <w:trPr>
          <w:trHeight w:val="131"/>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Common Stock, par value $.01 per share</w:t>
            </w:r>
          </w:p>
        </w:tc>
        <w:tc>
          <w:tcPr>
            <w:tcW w:w="120" w:type="dxa"/>
            <w:vAlign w:val="bottom"/>
          </w:tcPr>
          <w:p>
            <w:pPr>
              <w:spacing w:after="0"/>
              <w:rPr>
                <w:sz w:val="11"/>
                <w:szCs w:val="11"/>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WCC</w:t>
            </w:r>
          </w:p>
        </w:tc>
        <w:tc>
          <w:tcPr>
            <w:tcW w:w="120" w:type="dxa"/>
            <w:vAlign w:val="bottom"/>
          </w:tcPr>
          <w:p>
            <w:pPr>
              <w:spacing w:after="0"/>
              <w:rPr>
                <w:sz w:val="11"/>
                <w:szCs w:val="11"/>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112"/>
        </w:trPr>
        <w:tc>
          <w:tcPr>
            <w:tcW w:w="458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1"/>
                <w:szCs w:val="11"/>
                <w:color w:val="auto"/>
                <w:w w:val="98"/>
              </w:rPr>
              <w:t>Depositary Shares, each representing a 1/1,000th interest in a share of Series A Fixed-Rate Reset</w:t>
            </w:r>
          </w:p>
        </w:tc>
        <w:tc>
          <w:tcPr>
            <w:tcW w:w="182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1"/>
                <w:szCs w:val="11"/>
                <w:color w:val="auto"/>
                <w:w w:val="96"/>
              </w:rPr>
              <w:t>WCC PR A</w:t>
            </w:r>
          </w:p>
        </w:tc>
        <w:tc>
          <w:tcPr>
            <w:tcW w:w="452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140"/>
        </w:trPr>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Cumulative Perpetual Preferred Stock</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Pr>
          <w:p>
            <w:pPr>
              <w:spacing w:after="0"/>
              <w:rPr>
                <w:sz w:val="12"/>
                <w:szCs w:val="12"/>
                <w:color w:val="auto"/>
              </w:rPr>
            </w:pPr>
          </w:p>
        </w:tc>
      </w:tr>
    </w:tbl>
    <w:p>
      <w:pPr>
        <w:spacing w:after="0" w:line="200" w:lineRule="exact"/>
        <w:rPr>
          <w:sz w:val="24"/>
          <w:szCs w:val="24"/>
          <w:color w:val="auto"/>
        </w:rPr>
      </w:pPr>
    </w:p>
    <w:p>
      <w:pPr>
        <w:ind w:left="8"/>
        <w:spacing w:after="0" w:line="248"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8"/>
        <w:spacing w:after="0" w:line="138" w:lineRule="exact"/>
        <w:tabs>
          <w:tab w:leader="none" w:pos="250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06" w:lineRule="exact"/>
        <w:rPr>
          <w:sz w:val="24"/>
          <w:szCs w:val="24"/>
          <w:color w:val="auto"/>
        </w:rPr>
      </w:pPr>
    </w:p>
    <w:p>
      <w:pPr>
        <w:ind w:left="8" w:right="60"/>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570865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86360</wp:posOffset>
            </wp:positionV>
            <wp:extent cx="6697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7980" cy="571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103505</wp:posOffset>
            </wp:positionV>
            <wp:extent cx="6697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7980" cy="5715"/>
                    </a:xfrm>
                    <a:prstGeom prst="rect">
                      <a:avLst/>
                    </a:prstGeom>
                    <a:noFill/>
                  </pic:spPr>
                </pic:pic>
              </a:graphicData>
            </a:graphic>
          </wp:anchor>
        </w:drawing>
      </w:r>
    </w:p>
    <w:p>
      <w:pPr>
        <w:sectPr>
          <w:pgSz w:w="11900" w:h="16838" w:orient="portrait"/>
          <w:cols w:equalWidth="0" w:num="1">
            <w:col w:w="11148"/>
          </w:cols>
          <w:pgMar w:left="292" w:top="983" w:right="459" w:bottom="1440" w:gutter="0" w:footer="0" w:header="0"/>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jc w:val="both"/>
        <w:ind w:left="8" w:firstLine="108"/>
        <w:spacing w:after="0" w:line="260" w:lineRule="auto"/>
        <w:rPr>
          <w:sz w:val="20"/>
          <w:szCs w:val="20"/>
          <w:color w:val="auto"/>
        </w:rPr>
      </w:pPr>
      <w:r>
        <w:rPr>
          <w:rFonts w:ascii="Times New Roman" w:cs="Times New Roman" w:eastAsia="Times New Roman" w:hAnsi="Times New Roman"/>
          <w:sz w:val="12"/>
          <w:szCs w:val="12"/>
          <w:color w:val="auto"/>
        </w:rPr>
        <w:t>On September 26, 2024, executives of WESCO International, Inc. (the "Company") will present to investors at the Company's Investor Day 2024. In connection with its Investor Day, the Company issued a press release (the “Press Release”) and a live webcast of the presentation to investors (the “Presentation”) will be accessible from approximately 10:00 a.m. to 12:30 pm ET on the Investor Relations page of Wesco’s website, along with a replay following the webcast. In its Presentation, the Company will reaffirm its outlook for full-year 2024, as previously described in the Company’s second quarter 2024 earnings release, and will also provide an update regarding its third quarter 2024 outlook and its long-term growth strategy.</w:t>
      </w:r>
    </w:p>
    <w:p>
      <w:pPr>
        <w:spacing w:after="0" w:line="50"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color w:val="auto"/>
        </w:rPr>
        <w:t>The Press Release and the Presentation are attached hereto as Exhibits 99.1 and 99.2, respectively, to this report and are being furnished in accordance with Regulation FD of the Securities and Exchange Commission.</w:t>
      </w:r>
    </w:p>
    <w:p>
      <w:pPr>
        <w:spacing w:after="0" w:line="78" w:lineRule="exact"/>
        <w:rPr>
          <w:sz w:val="20"/>
          <w:szCs w:val="20"/>
          <w:color w:val="auto"/>
        </w:rPr>
      </w:pPr>
    </w:p>
    <w:p>
      <w:pPr>
        <w:jc w:val="both"/>
        <w:ind w:left="8" w:right="20" w:firstLine="108"/>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Exhibits 99.1 and 99.2, is being furnished and shall not be deemed "filed" for the purpose of Section 18 of the Securities Exchange Act of 1934, as amended, or otherwise subject to the liabilities of that section. The information in this Item 7.01, including Exhibits 99.1 and 99.2, shall not be incorporated by reference into any registration statement or other document pursuant to the Securities Act of 1933, as amended.</w:t>
      </w:r>
    </w:p>
    <w:p>
      <w:pPr>
        <w:spacing w:after="0" w:line="107"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8"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Exhibits</w:t>
      </w:r>
      <w:r>
        <w:rPr>
          <w:rFonts w:ascii="Times New Roman" w:cs="Times New Roman" w:eastAsia="Times New Roman" w:hAnsi="Times New Roman"/>
          <w:sz w:val="12"/>
          <w:szCs w:val="12"/>
          <w:color w:val="auto"/>
        </w:rPr>
        <w:t>.</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6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1140" w:type="dxa"/>
            <w:vAlign w:val="bottom"/>
          </w:tcPr>
          <w:p>
            <w:pPr>
              <w:spacing w:after="0"/>
              <w:rPr>
                <w:sz w:val="11"/>
                <w:szCs w:val="11"/>
                <w:color w:val="auto"/>
              </w:rPr>
            </w:pPr>
          </w:p>
        </w:tc>
        <w:tc>
          <w:tcPr>
            <w:tcW w:w="198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9"/>
              </w:rPr>
              <w:t>Press Release, dated September 26, 2024</w:t>
            </w:r>
          </w:p>
        </w:tc>
        <w:tc>
          <w:tcPr>
            <w:tcW w:w="7620" w:type="dxa"/>
            <w:vAlign w:val="bottom"/>
            <w:gridSpan w:val="2"/>
          </w:tcPr>
          <w:p>
            <w:pPr>
              <w:spacing w:after="0"/>
              <w:rPr>
                <w:sz w:val="11"/>
                <w:szCs w:val="1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140" w:type="dxa"/>
            <w:vAlign w:val="bottom"/>
          </w:tcPr>
          <w:p>
            <w:pPr>
              <w:spacing w:after="0"/>
              <w:rPr>
                <w:sz w:val="11"/>
                <w:szCs w:val="11"/>
                <w:color w:val="auto"/>
              </w:rPr>
            </w:pPr>
          </w:p>
        </w:tc>
        <w:tc>
          <w:tcPr>
            <w:tcW w:w="282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Slide presentation for investors, dated September 26, 2024</w:t>
            </w:r>
          </w:p>
        </w:tc>
        <w:tc>
          <w:tcPr>
            <w:tcW w:w="678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140" w:type="dxa"/>
            <w:vAlign w:val="bottom"/>
          </w:tcPr>
          <w:p>
            <w:pPr>
              <w:spacing w:after="0"/>
              <w:rPr>
                <w:sz w:val="13"/>
                <w:szCs w:val="13"/>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09"/>
        </w:trPr>
        <w:tc>
          <w:tcPr>
            <w:tcW w:w="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17" w:right="29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WESCO International, Inc.</w:t>
            </w:r>
          </w:p>
        </w:tc>
        <w:tc>
          <w:tcPr>
            <w:tcW w:w="420" w:type="dxa"/>
            <w:vAlign w:val="bottom"/>
          </w:tcPr>
          <w:p>
            <w:pPr>
              <w:spacing w:after="0"/>
              <w:rPr>
                <w:sz w:val="13"/>
                <w:szCs w:val="13"/>
                <w:color w:val="auto"/>
              </w:rPr>
            </w:pPr>
          </w:p>
        </w:tc>
      </w:tr>
      <w:tr>
        <w:trPr>
          <w:trHeight w:val="144"/>
        </w:trPr>
        <w:tc>
          <w:tcPr>
            <w:tcW w:w="2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(Registrant)</w:t>
            </w:r>
          </w:p>
        </w:tc>
        <w:tc>
          <w:tcPr>
            <w:tcW w:w="420" w:type="dxa"/>
            <w:vAlign w:val="bottom"/>
          </w:tcPr>
          <w:p>
            <w:pPr>
              <w:spacing w:after="0"/>
              <w:rPr>
                <w:sz w:val="12"/>
                <w:szCs w:val="12"/>
                <w:color w:val="auto"/>
              </w:rPr>
            </w:pP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September 26, 2024</w:t>
            </w:r>
          </w:p>
        </w:tc>
        <w:tc>
          <w:tcPr>
            <w:tcW w:w="5460" w:type="dxa"/>
            <w:vAlign w:val="bottom"/>
            <w:gridSpan w:val="3"/>
          </w:tcPr>
          <w:p>
            <w:pPr>
              <w:ind w:left="400"/>
              <w:spacing w:after="0"/>
              <w:rPr>
                <w:sz w:val="20"/>
                <w:szCs w:val="20"/>
                <w:color w:val="auto"/>
              </w:rPr>
            </w:pPr>
            <w:r>
              <w:rPr>
                <w:rFonts w:ascii="Times New Roman" w:cs="Times New Roman" w:eastAsia="Times New Roman" w:hAnsi="Times New Roman"/>
                <w:sz w:val="12"/>
                <w:szCs w:val="12"/>
                <w:color w:val="auto"/>
              </w:rPr>
              <w:t>By: /s/ David S. Schulz</w:t>
            </w:r>
          </w:p>
        </w:tc>
        <w:tc>
          <w:tcPr>
            <w:tcW w:w="420" w:type="dxa"/>
            <w:vAlign w:val="bottom"/>
          </w:tcPr>
          <w:p>
            <w:pPr>
              <w:spacing w:after="0"/>
              <w:rPr>
                <w:sz w:val="20"/>
                <w:szCs w:val="20"/>
                <w:color w:val="auto"/>
              </w:rPr>
            </w:pPr>
          </w:p>
        </w:tc>
      </w:tr>
      <w:tr>
        <w:trPr>
          <w:trHeight w:val="140"/>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(Date)</w:t>
            </w:r>
          </w:p>
        </w:tc>
        <w:tc>
          <w:tcPr>
            <w:tcW w:w="580" w:type="dxa"/>
            <w:vAlign w:val="bottom"/>
          </w:tcPr>
          <w:p>
            <w:pPr>
              <w:spacing w:after="0"/>
              <w:rPr>
                <w:sz w:val="12"/>
                <w:szCs w:val="12"/>
                <w:color w:val="auto"/>
              </w:rPr>
            </w:pPr>
          </w:p>
        </w:tc>
        <w:tc>
          <w:tcPr>
            <w:tcW w:w="4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David S. Schulz</w:t>
            </w:r>
          </w:p>
        </w:tc>
        <w:tc>
          <w:tcPr>
            <w:tcW w:w="420" w:type="dxa"/>
            <w:vAlign w:val="bottom"/>
            <w:tcBorders>
              <w:top w:val="single" w:sz="8" w:color="auto"/>
            </w:tcBorders>
          </w:tcPr>
          <w:p>
            <w:pPr>
              <w:spacing w:after="0"/>
              <w:rPr>
                <w:sz w:val="12"/>
                <w:szCs w:val="12"/>
                <w:color w:val="auto"/>
              </w:rPr>
            </w:pPr>
          </w:p>
        </w:tc>
      </w:tr>
      <w:tr>
        <w:trPr>
          <w:trHeight w:val="155"/>
        </w:trPr>
        <w:tc>
          <w:tcPr>
            <w:tcW w:w="2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420" w:type="dxa"/>
            <w:vAlign w:val="bottom"/>
          </w:tcPr>
          <w:p>
            <w:pPr>
              <w:spacing w:after="0"/>
              <w:rPr>
                <w:sz w:val="13"/>
                <w:szCs w:val="13"/>
                <w:color w:val="auto"/>
              </w:rPr>
            </w:pPr>
          </w:p>
        </w:tc>
      </w:tr>
    </w:tbl>
    <w:p>
      <w:pPr>
        <w:sectPr>
          <w:pgSz w:w="11900" w:h="16838" w:orient="portrait"/>
          <w:cols w:equalWidth="0" w:num="1">
            <w:col w:w="9839"/>
          </w:cols>
          <w:pgMar w:left="620" w:top="773" w:right="1440" w:bottom="1440" w:gutter="0" w:footer="0" w:header="0"/>
        </w:sectPr>
      </w:pPr>
    </w:p>
    <w:bookmarkStart w:id="3" w:name="page4"/>
    <w:bookmarkEnd w:id="3"/>
    <w:p>
      <w:pPr>
        <w:ind w:left="2720"/>
        <w:spacing w:after="0"/>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659765</wp:posOffset>
            </wp:positionH>
            <wp:positionV relativeFrom="page">
              <wp:posOffset>540385</wp:posOffset>
            </wp:positionV>
            <wp:extent cx="77724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77240" cy="65151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19050</wp:posOffset>
            </wp:positionV>
            <wp:extent cx="519493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4935" cy="5715"/>
                    </a:xfrm>
                    <a:prstGeom prst="rect">
                      <a:avLst/>
                    </a:prstGeom>
                    <a:noFill/>
                  </pic:spPr>
                </pic:pic>
              </a:graphicData>
            </a:graphic>
          </wp:anchor>
        </w:drawing>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i w:val="1"/>
          <w:iCs w:val="1"/>
          <w:color w:val="auto"/>
        </w:rPr>
        <w:t>WESCO International, Inc. / 225 West Station Square Drive, Suite 700 / Pittsburgh, PA 15219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Wesco to Announce Strategic Vision and Financial Goals at 2024 Investor Day</w:t>
      </w:r>
    </w:p>
    <w:p>
      <w:pPr>
        <w:spacing w:after="0" w:line="27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PITTSBURGH, September 26, 2024 /PR Newswire/ </w:t>
      </w:r>
      <w:r>
        <w:rPr>
          <w:rFonts w:ascii="Times New Roman" w:cs="Times New Roman" w:eastAsia="Times New Roman" w:hAnsi="Times New Roman"/>
          <w:sz w:val="13"/>
          <w:szCs w:val="13"/>
          <w:color w:val="auto"/>
        </w:rPr>
        <w:t>-- Wesco International (NYSE: WCC), will provide an update regarding its long-term growth strategy at its Investor Day meeting taking place in-person at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innovation center in Glenview, Ill. and online today at 9 a.m. Central Time.</w:t>
      </w:r>
    </w:p>
    <w:p>
      <w:pPr>
        <w:spacing w:after="0" w:line="1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Wesco will share an update on its digitally enabled business transformation and expansive capabilities to support long-term growth and margin expansion. Consistent with prior expectations, over the long term it expects to achieve mid-single-digit organic growth, driven by a strategic shift into higher growth and higher margin end markets along with continued share gains. The company has a long-term track record of increasing returns to shareholders through acquisitions which are additive to the topline growth rate and margin expansion. Over the same cycle, the company expects to grow EBITDA at twice the rate of sales, expand return on net assets, and target free cash flow of 100% of adjusted net income.</w:t>
      </w:r>
    </w:p>
    <w:p>
      <w:pPr>
        <w:spacing w:after="0" w:line="13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Wesco’s 2024 full-year expectations remain consistent with the outlook described in the company's second quarter earnings report. Wesco expects reported sales of (3.5)% to (1.5)% and organic sales growth of (1.5)% to 0.5% versus the prior year. The company continues to expect to deliver adjusted EBITDA of 7.0% to 7.3%, and adjusted EPS of $12 to $13.</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3"/>
          <w:szCs w:val="13"/>
          <w:color w:val="auto"/>
        </w:rPr>
        <w:t>“Our investment thesis is built on our market leadership, future cash generation, and strong progress on our business transformation. We have multiple drivers of our future sustained outperformance and are well-positioned to deliver outsized growth due to secular trends in AI-driven data centers, increased power generation, electrification, IoT and automation, and re-shoring of global supply chains. We’re more than halfway complete on our technology and capabilities build. We have introduced generative AI analytics, automated multiple order and fulfillment processes, and developed new digital tools to improve working capital efficiency. These advancements are expected to accelerate growth, expand margins, and enhance the integration of future acquisitions. Our experienced management team, comprised of industry veterans with deep domain knowledge and new talent additions, is focused on driving our strategic priorities and achieving our financial goals," said Chairman, President and CEO John Engel.</w:t>
      </w:r>
    </w:p>
    <w:p>
      <w:pPr>
        <w:spacing w:after="0" w:line="14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3"/>
          <w:szCs w:val="13"/>
          <w:color w:val="auto"/>
        </w:rPr>
        <w:t>“As we stand here today, we have built a new Wesco. Since our last investor meeting two years ago, we have completed our integrations of Anixter and Rahi Systems while making substantial progress on our business transformation. We are laser-focused on the four critical components of our long-term value creation: capturing the benefits of our digital transformation; progressing toward our 10%+ EBITDA margin goal; generating strong and consistent cash flow; and investing in services and acquisitions while supporting a consistent return of capital to our shareholders over time. We are committed to achieving our vision of becoming the best tech-enabled supply chain solutions company in the world and creating value for all stakeholders,” he said.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109"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Webcast and Teleconference Access</w:t>
      </w:r>
    </w:p>
    <w:p>
      <w:pPr>
        <w:spacing w:after="0" w:line="13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Wesco will conduct a webcast and in-person meeting on Thursday, September 26, 2024, at 9:00 a.m. C.T. The event will be broadcast live over the internet and can be accessed from the Investor Relations page of the Company's website at https://investors.wesco.com. The call will be archived on this internet site for seven days.</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i w:val="1"/>
          <w:iCs w:val="1"/>
          <w:color w:val="auto"/>
        </w:rPr>
        <w:t>Wesco International (NYSE: WCC) builds, connects, powers and protects the world. Headquartered in Pittsburgh, Pennsylvania, Wesco is a FORTUNE 500® company with more than $22 billion in annual sales and a leading provider of business-to-business distribution, logistics services and supply chain solutions. Wesco offers a best-in-class product and services portfolio of Electrical and Electronic Solutions, Communications and Security Solutions, and Utility and Broadband Solutions. The Company employs approximately 20,000 people, partners with the industry’s premier suppliers, and serves thousands of customers around the world. With millions of products, end-to-end supply chain services, and leading digital capabilities, Wesco provides innovative solutions to meet customer needs across commercial and industrial businesses, contractors, government agencies, educational institutions, telecommunications providers, and utilities. Wesco operates nearly 800 branches, warehouses and sales offices in more than 50 countries, providing a local presence for customers and a global network to serve multi-location businesses and global corporations.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1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i w:val="1"/>
          <w:iCs w:val="1"/>
          <w:color w:val="auto"/>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sustainability and environmental protection; the inability to successfully develop, manage or implement new technology initiatives or business strategies, including with respect to the expansion of e-commerce capabilities and other digital solutions and digitalization initiatives; disruption of information technology systems or operations; natural disasters (including as a result of climate change), health epidemics, pandemics and other outbreaks; supply chain disruptions; geopolitical issues, including the impact of the evolving conflicts in the Middle East and Russia/Ukraine; the impact of sanctions imposed on, or other actions taken by the U.S. or other countries against, Russia or China;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180"/>
          </w:cols>
          <w:pgMar w:left="360" w:top="786" w:right="359" w:bottom="1440" w:gutter="0" w:footer="0" w:header="0"/>
        </w:sectPr>
      </w:pPr>
    </w:p>
    <w:bookmarkStart w:id="5" w:name="page6"/>
    <w:bookmarkEnd w:id="5"/>
    <w:tbl>
      <w:tblPr>
        <w:tblLayout w:type="fixed"/>
        <w:tblInd w:w="470" w:type="dxa"/>
        <w:tblCellMar>
          <w:top w:w="0" w:type="dxa"/>
          <w:left w:w="0" w:type="dxa"/>
          <w:bottom w:w="0" w:type="dxa"/>
          <w:right w:w="0" w:type="dxa"/>
        </w:tblCellMar>
      </w:tblPr>
      <w:tr>
        <w:trPr>
          <w:trHeight w:val="162"/>
        </w:trPr>
        <w:tc>
          <w:tcPr>
            <w:tcW w:w="3120" w:type="dxa"/>
            <w:vAlign w:val="bottom"/>
            <w:tcBorders>
              <w:top w:val="single" w:sz="8" w:color="auto"/>
              <w:left w:val="single" w:sz="8" w:color="auto"/>
              <w:bottom w:val="single" w:sz="8" w:color="auto"/>
            </w:tcBorders>
          </w:tcPr>
          <w:p>
            <w:pPr>
              <w:spacing w:after="0"/>
              <w:rPr>
                <w:sz w:val="14"/>
                <w:szCs w:val="14"/>
                <w:color w:val="auto"/>
              </w:rPr>
            </w:pPr>
          </w:p>
        </w:tc>
        <w:tc>
          <w:tcPr>
            <w:tcW w:w="4980" w:type="dxa"/>
            <w:vAlign w:val="bottom"/>
            <w:tcBorders>
              <w:top w:val="single" w:sz="8" w:color="auto"/>
              <w:bottom w:val="single" w:sz="8" w:color="auto"/>
              <w:right w:val="single" w:sz="8" w:color="auto"/>
            </w:tcBorders>
            <w:gridSpan w:val="2"/>
          </w:tcPr>
          <w:p>
            <w:pPr>
              <w:jc w:val="center"/>
              <w:ind w:right="3060"/>
              <w:spacing w:after="0"/>
              <w:rPr>
                <w:sz w:val="20"/>
                <w:szCs w:val="20"/>
                <w:color w:val="auto"/>
              </w:rPr>
            </w:pPr>
            <w:r>
              <w:rPr>
                <w:rFonts w:ascii="Times New Roman" w:cs="Times New Roman" w:eastAsia="Times New Roman" w:hAnsi="Times New Roman"/>
                <w:sz w:val="12"/>
                <w:szCs w:val="12"/>
                <w:color w:val="auto"/>
              </w:rPr>
              <w:t>Contact Information</w:t>
            </w:r>
          </w:p>
        </w:tc>
      </w:tr>
      <w:tr>
        <w:trPr>
          <w:trHeight w:val="142"/>
        </w:trPr>
        <w:tc>
          <w:tcPr>
            <w:tcW w:w="3120" w:type="dxa"/>
            <w:vAlign w:val="bottom"/>
            <w:tcBorders>
              <w:left w:val="single" w:sz="8" w:color="auto"/>
              <w:bottom w:val="single" w:sz="8" w:color="auto"/>
            </w:tcBorders>
          </w:tcPr>
          <w:p>
            <w:pPr>
              <w:jc w:val="center"/>
              <w:ind w:left="880"/>
              <w:spacing w:after="0"/>
              <w:rPr>
                <w:sz w:val="20"/>
                <w:szCs w:val="20"/>
                <w:color w:val="auto"/>
              </w:rPr>
            </w:pPr>
            <w:r>
              <w:rPr>
                <w:rFonts w:ascii="Times New Roman" w:cs="Times New Roman" w:eastAsia="Times New Roman" w:hAnsi="Times New Roman"/>
                <w:sz w:val="12"/>
                <w:szCs w:val="12"/>
                <w:color w:val="auto"/>
                <w:w w:val="98"/>
              </w:rPr>
              <w:t>Investor Relations</w:t>
            </w:r>
          </w:p>
        </w:tc>
        <w:tc>
          <w:tcPr>
            <w:tcW w:w="940" w:type="dxa"/>
            <w:vAlign w:val="bottom"/>
            <w:tcBorders>
              <w:bottom w:val="single" w:sz="8" w:color="auto"/>
              <w:right w:val="single" w:sz="8" w:color="auto"/>
            </w:tcBorders>
          </w:tcPr>
          <w:p>
            <w:pPr>
              <w:spacing w:after="0"/>
              <w:rPr>
                <w:sz w:val="12"/>
                <w:szCs w:val="12"/>
                <w:color w:val="auto"/>
              </w:rPr>
            </w:pP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Corporate Communications</w:t>
            </w:r>
          </w:p>
        </w:tc>
      </w:tr>
      <w:tr>
        <w:trPr>
          <w:trHeight w:val="106"/>
        </w:trPr>
        <w:tc>
          <w:tcPr>
            <w:tcW w:w="3120" w:type="dxa"/>
            <w:vAlign w:val="bottom"/>
            <w:tcBorders>
              <w:left w:val="single" w:sz="8" w:color="auto"/>
            </w:tcBorders>
          </w:tcPr>
          <w:p>
            <w:pPr>
              <w:jc w:val="center"/>
              <w:ind w:left="880"/>
              <w:spacing w:after="0" w:line="106" w:lineRule="exact"/>
              <w:rPr>
                <w:sz w:val="20"/>
                <w:szCs w:val="20"/>
                <w:color w:val="auto"/>
              </w:rPr>
            </w:pPr>
            <w:r>
              <w:rPr>
                <w:rFonts w:ascii="Times New Roman" w:cs="Times New Roman" w:eastAsia="Times New Roman" w:hAnsi="Times New Roman"/>
                <w:sz w:val="12"/>
                <w:szCs w:val="12"/>
                <w:color w:val="auto"/>
                <w:w w:val="98"/>
              </w:rPr>
              <w:t>Will Ruthrauff</w:t>
            </w:r>
          </w:p>
        </w:tc>
        <w:tc>
          <w:tcPr>
            <w:tcW w:w="940" w:type="dxa"/>
            <w:vAlign w:val="bottom"/>
            <w:tcBorders>
              <w:right w:val="single" w:sz="8" w:color="auto"/>
            </w:tcBorders>
          </w:tcPr>
          <w:p>
            <w:pPr>
              <w:spacing w:after="0"/>
              <w:rPr>
                <w:sz w:val="9"/>
                <w:szCs w:val="9"/>
                <w:color w:val="auto"/>
              </w:rPr>
            </w:pPr>
          </w:p>
        </w:tc>
        <w:tc>
          <w:tcPr>
            <w:tcW w:w="40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rPr>
              <w:t>Jennifer Sniderman</w:t>
            </w:r>
          </w:p>
        </w:tc>
      </w:tr>
      <w:tr>
        <w:trPr>
          <w:trHeight w:val="117"/>
        </w:trPr>
        <w:tc>
          <w:tcPr>
            <w:tcW w:w="3120" w:type="dxa"/>
            <w:vAlign w:val="bottom"/>
            <w:tcBorders>
              <w:left w:val="single" w:sz="8" w:color="auto"/>
            </w:tcBorders>
          </w:tcPr>
          <w:p>
            <w:pPr>
              <w:jc w:val="center"/>
              <w:ind w:left="880"/>
              <w:spacing w:after="0" w:line="117" w:lineRule="exact"/>
              <w:rPr>
                <w:sz w:val="20"/>
                <w:szCs w:val="20"/>
                <w:color w:val="auto"/>
              </w:rPr>
            </w:pPr>
            <w:r>
              <w:rPr>
                <w:rFonts w:ascii="Times New Roman" w:cs="Times New Roman" w:eastAsia="Times New Roman" w:hAnsi="Times New Roman"/>
                <w:sz w:val="12"/>
                <w:szCs w:val="12"/>
                <w:color w:val="auto"/>
              </w:rPr>
              <w:t>Director, Investor Relations</w:t>
            </w:r>
          </w:p>
        </w:tc>
        <w:tc>
          <w:tcPr>
            <w:tcW w:w="940" w:type="dxa"/>
            <w:vAlign w:val="bottom"/>
            <w:tcBorders>
              <w:right w:val="single" w:sz="8" w:color="auto"/>
            </w:tcBorders>
          </w:tcPr>
          <w:p>
            <w:pPr>
              <w:spacing w:after="0"/>
              <w:rPr>
                <w:sz w:val="10"/>
                <w:szCs w:val="10"/>
                <w:color w:val="auto"/>
              </w:rPr>
            </w:pPr>
          </w:p>
        </w:tc>
        <w:tc>
          <w:tcPr>
            <w:tcW w:w="404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color w:val="auto"/>
              </w:rPr>
              <w:t>Vice President, Corporate Communications</w:t>
            </w:r>
          </w:p>
        </w:tc>
      </w:tr>
      <w:tr>
        <w:trPr>
          <w:trHeight w:val="158"/>
        </w:trPr>
        <w:tc>
          <w:tcPr>
            <w:tcW w:w="3120" w:type="dxa"/>
            <w:vAlign w:val="bottom"/>
            <w:tcBorders>
              <w:left w:val="single" w:sz="8" w:color="auto"/>
              <w:bottom w:val="single" w:sz="8" w:color="auto"/>
            </w:tcBorders>
          </w:tcPr>
          <w:p>
            <w:pPr>
              <w:jc w:val="center"/>
              <w:ind w:left="860"/>
              <w:spacing w:after="0"/>
              <w:rPr>
                <w:sz w:val="20"/>
                <w:szCs w:val="20"/>
                <w:color w:val="auto"/>
              </w:rPr>
            </w:pPr>
            <w:r>
              <w:rPr>
                <w:rFonts w:ascii="Times New Roman" w:cs="Times New Roman" w:eastAsia="Times New Roman" w:hAnsi="Times New Roman"/>
                <w:sz w:val="12"/>
                <w:szCs w:val="12"/>
                <w:color w:val="auto"/>
                <w:w w:val="99"/>
              </w:rPr>
              <w:t>484-885-5648</w:t>
            </w:r>
          </w:p>
        </w:tc>
        <w:tc>
          <w:tcPr>
            <w:tcW w:w="940" w:type="dxa"/>
            <w:vAlign w:val="bottom"/>
            <w:tcBorders>
              <w:bottom w:val="single" w:sz="8" w:color="auto"/>
              <w:right w:val="single" w:sz="8" w:color="auto"/>
            </w:tcBorders>
          </w:tcPr>
          <w:p>
            <w:pPr>
              <w:spacing w:after="0"/>
              <w:rPr>
                <w:sz w:val="13"/>
                <w:szCs w:val="13"/>
                <w:color w:val="auto"/>
              </w:rPr>
            </w:pP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717-579-6603</w:t>
            </w:r>
          </w:p>
        </w:tc>
      </w:tr>
      <w:tr>
        <w:trPr>
          <w:trHeight w:val="353"/>
        </w:trPr>
        <w:tc>
          <w:tcPr>
            <w:tcW w:w="3120" w:type="dxa"/>
            <w:vAlign w:val="bottom"/>
          </w:tcPr>
          <w:p>
            <w:pPr>
              <w:spacing w:after="0"/>
              <w:rPr>
                <w:sz w:val="24"/>
                <w:szCs w:val="24"/>
                <w:color w:val="auto"/>
              </w:rPr>
            </w:pPr>
          </w:p>
        </w:tc>
        <w:tc>
          <w:tcPr>
            <w:tcW w:w="4980" w:type="dxa"/>
            <w:vAlign w:val="bottom"/>
            <w:gridSpan w:val="2"/>
          </w:tcPr>
          <w:p>
            <w:pPr>
              <w:jc w:val="right"/>
              <w:ind w:right="39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9019"/>
          </w:cols>
          <w:pgMar w:left="1440" w:top="516" w:right="1440" w:bottom="1440"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2024-09-26T05:49:22Z</dcterms:created>
  <dcterms:modified xsi:type="dcterms:W3CDTF">2024-09-26T05:49:22Z</dcterms:modified>
</cp:coreProperties>
</file>